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4AD8D1A3" w:rsidR="00107DD5" w:rsidRDefault="00221D8F" w:rsidP="00CA4815">
      <w:r w:rsidRPr="00CA4815">
        <w:rPr>
          <w:b/>
          <w:bCs/>
          <w:noProof/>
        </w:rPr>
        <w:drawing>
          <wp:anchor distT="0" distB="0" distL="114300" distR="114300" simplePos="0" relativeHeight="251658240" behindDoc="1" locked="1" layoutInCell="1" allowOverlap="1" wp14:anchorId="4A1B45CD" wp14:editId="63053EB1">
            <wp:simplePos x="0" y="0"/>
            <wp:positionH relativeFrom="page">
              <wp:posOffset>0</wp:posOffset>
            </wp:positionH>
            <wp:positionV relativeFrom="page">
              <wp:align>bottom</wp:align>
            </wp:positionV>
            <wp:extent cx="7559640" cy="10703520"/>
            <wp:effectExtent l="0" t="0" r="381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40" cy="10703520"/>
                    </a:xfrm>
                    <a:prstGeom prst="rect">
                      <a:avLst/>
                    </a:prstGeom>
                  </pic:spPr>
                </pic:pic>
              </a:graphicData>
            </a:graphic>
            <wp14:sizeRelH relativeFrom="page">
              <wp14:pctWidth>0</wp14:pctWidth>
            </wp14:sizeRelH>
            <wp14:sizeRelV relativeFrom="page">
              <wp14:pctHeight>0</wp14:pctHeight>
            </wp14:sizeRelV>
          </wp:anchor>
        </w:drawing>
      </w:r>
      <w:r w:rsidR="00A445DC">
        <w:rPr>
          <w:noProof/>
        </w:rPr>
        <w:drawing>
          <wp:inline distT="0" distB="0" distL="0" distR="0" wp14:anchorId="2EEDA0DF" wp14:editId="05CEFA02">
            <wp:extent cx="3843536" cy="780290"/>
            <wp:effectExtent l="0" t="0" r="5080" b="1270"/>
            <wp:docPr id="63099250" name="Picture 63099250" descr="Australian Government&#10;Australia's Economic Accel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9250" name="Picture 1" descr="Australian Government&#10;Australia's Economic Accelerato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3536" cy="780290"/>
                    </a:xfrm>
                    <a:prstGeom prst="rect">
                      <a:avLst/>
                    </a:prstGeom>
                  </pic:spPr>
                </pic:pic>
              </a:graphicData>
            </a:graphic>
          </wp:inline>
        </w:drawing>
      </w:r>
      <w:r w:rsidR="08416105">
        <w:t>ff</w:t>
      </w:r>
    </w:p>
    <w:p w14:paraId="00166DE0" w14:textId="17AF37A2" w:rsidR="00221D8F" w:rsidRDefault="00517974" w:rsidP="00221D8F">
      <w:pPr>
        <w:pStyle w:val="Heading1"/>
      </w:pPr>
      <w:bookmarkStart w:id="0" w:name="_Toc126923146"/>
      <w:bookmarkStart w:id="1" w:name="_Toc126923157"/>
      <w:r>
        <w:rPr>
          <w:rFonts w:eastAsiaTheme="minorHAnsi"/>
        </w:rPr>
        <w:t xml:space="preserve">Annual </w:t>
      </w:r>
      <w:r w:rsidR="004968DD">
        <w:rPr>
          <w:rFonts w:eastAsiaTheme="minorHAnsi"/>
        </w:rPr>
        <w:t>Investment Plan</w:t>
      </w:r>
      <w:bookmarkEnd w:id="0"/>
      <w:bookmarkEnd w:id="1"/>
    </w:p>
    <w:p w14:paraId="02E6F962" w14:textId="1F47D300" w:rsidR="006A51AD" w:rsidRPr="006A51AD" w:rsidRDefault="00517974" w:rsidP="0011576C">
      <w:pPr>
        <w:pStyle w:val="Subtitle"/>
        <w:rPr>
          <w:sz w:val="52"/>
          <w:szCs w:val="32"/>
        </w:rPr>
      </w:pPr>
      <w:r>
        <w:rPr>
          <w:sz w:val="52"/>
          <w:szCs w:val="32"/>
        </w:rPr>
        <w:t xml:space="preserve">June </w:t>
      </w:r>
      <w:r w:rsidR="006A51AD" w:rsidRPr="006A51AD">
        <w:rPr>
          <w:sz w:val="52"/>
          <w:szCs w:val="32"/>
        </w:rPr>
        <w:t>2024</w:t>
      </w:r>
    </w:p>
    <w:p w14:paraId="21C1556E" w14:textId="4BF7F7B7" w:rsidR="0017134D" w:rsidRDefault="009C029B" w:rsidP="0011576C">
      <w:pPr>
        <w:pStyle w:val="Subtitle"/>
      </w:pPr>
      <w:r>
        <w:t>Australia’s Economic Accelerator Advisory Board</w:t>
      </w:r>
      <w:r w:rsidR="0011576C">
        <w:br/>
      </w:r>
    </w:p>
    <w:p w14:paraId="0600EC06" w14:textId="77777777" w:rsidR="00107D87" w:rsidRDefault="00107D87">
      <w:pPr>
        <w:sectPr w:rsidR="00107D87" w:rsidSect="0007727D">
          <w:headerReference w:type="default" r:id="rId13"/>
          <w:footerReference w:type="default" r:id="rId14"/>
          <w:pgSz w:w="11906" w:h="16838"/>
          <w:pgMar w:top="1418" w:right="1440" w:bottom="1440" w:left="1440" w:header="709" w:footer="709" w:gutter="0"/>
          <w:cols w:space="708"/>
          <w:docGrid w:linePitch="360"/>
        </w:sectPr>
      </w:pPr>
    </w:p>
    <w:p w14:paraId="5F68E7CD" w14:textId="6D402658" w:rsidR="0017134D" w:rsidRDefault="00107D87" w:rsidP="0026681D">
      <w:pPr>
        <w:spacing w:before="10240"/>
      </w:pPr>
      <w:r>
        <w:rPr>
          <w:noProof/>
        </w:rPr>
        <w:lastRenderedPageBreak/>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719DC422" w:rsidR="0017134D" w:rsidRDefault="0017134D" w:rsidP="0017134D">
      <w:r>
        <w:t xml:space="preserve">With the exception of the Commonwealth Coat of Arms, the </w:t>
      </w:r>
      <w:r w:rsidR="00CF7E2A">
        <w:t>d</w:t>
      </w:r>
      <w:r>
        <w:t xml:space="preserve">epartment’s logo, any material protected by a trademark and where otherwise noted all material presented in this document is provided under a </w:t>
      </w:r>
      <w:hyperlink r:id="rId16"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7"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0899CECE" w:rsidR="0017134D" w:rsidRDefault="0017134D" w:rsidP="0017134D">
      <w:r>
        <w:t xml:space="preserve">The document must be attributed as the </w:t>
      </w:r>
      <w:r w:rsidR="00B74857">
        <w:t>AEA</w:t>
      </w:r>
      <w:r w:rsidR="00123425">
        <w:t xml:space="preserve"> Annual</w:t>
      </w:r>
      <w:r w:rsidR="00B74857">
        <w:t xml:space="preserve"> Investment Plan 2024-25</w:t>
      </w:r>
      <w:r>
        <w:t>.</w:t>
      </w:r>
    </w:p>
    <w:p w14:paraId="6B9F8CC3" w14:textId="77777777" w:rsidR="00107D87" w:rsidRDefault="00107D87" w:rsidP="0017134D">
      <w:pPr>
        <w:sectPr w:rsidR="00107D87" w:rsidSect="0007727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pPr>
    </w:p>
    <w:p w14:paraId="4CCE29C4" w14:textId="35452D8F" w:rsidR="00AF1F18" w:rsidRPr="00AD631F" w:rsidRDefault="00AF1F18" w:rsidP="00AF1F18">
      <w:pPr>
        <w:pStyle w:val="TOCHeading"/>
      </w:pPr>
      <w:r w:rsidRPr="00AF1F18">
        <w:lastRenderedPageBreak/>
        <w:t>Contents</w:t>
      </w:r>
    </w:p>
    <w:p w14:paraId="15C74276" w14:textId="5791D7D8" w:rsidR="00057720"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70917795" w:history="1">
        <w:r w:rsidR="00057720" w:rsidRPr="00070E61">
          <w:rPr>
            <w:rStyle w:val="Hyperlink"/>
            <w:noProof/>
          </w:rPr>
          <w:t>Foreword</w:t>
        </w:r>
        <w:r w:rsidR="00057720">
          <w:rPr>
            <w:noProof/>
            <w:webHidden/>
          </w:rPr>
          <w:tab/>
        </w:r>
        <w:r w:rsidR="00057720">
          <w:rPr>
            <w:noProof/>
            <w:webHidden/>
          </w:rPr>
          <w:fldChar w:fldCharType="begin"/>
        </w:r>
        <w:r w:rsidR="00057720">
          <w:rPr>
            <w:noProof/>
            <w:webHidden/>
          </w:rPr>
          <w:instrText xml:space="preserve"> PAGEREF _Toc170917795 \h </w:instrText>
        </w:r>
        <w:r w:rsidR="00057720">
          <w:rPr>
            <w:noProof/>
            <w:webHidden/>
          </w:rPr>
        </w:r>
        <w:r w:rsidR="00057720">
          <w:rPr>
            <w:noProof/>
            <w:webHidden/>
          </w:rPr>
          <w:fldChar w:fldCharType="separate"/>
        </w:r>
        <w:r w:rsidR="00057720">
          <w:rPr>
            <w:noProof/>
            <w:webHidden/>
          </w:rPr>
          <w:t>4</w:t>
        </w:r>
        <w:r w:rsidR="00057720">
          <w:rPr>
            <w:noProof/>
            <w:webHidden/>
          </w:rPr>
          <w:fldChar w:fldCharType="end"/>
        </w:r>
      </w:hyperlink>
    </w:p>
    <w:p w14:paraId="184D6317" w14:textId="45063430" w:rsidR="00057720" w:rsidRDefault="00C97261">
      <w:pPr>
        <w:pStyle w:val="TOC1"/>
        <w:rPr>
          <w:rFonts w:eastAsiaTheme="minorEastAsia"/>
          <w:noProof/>
          <w:kern w:val="2"/>
          <w:sz w:val="24"/>
          <w:szCs w:val="24"/>
          <w:lang w:eastAsia="en-AU"/>
          <w14:ligatures w14:val="standardContextual"/>
        </w:rPr>
      </w:pPr>
      <w:hyperlink w:anchor="_Toc170917796" w:history="1">
        <w:r w:rsidR="00057720" w:rsidRPr="00070E61">
          <w:rPr>
            <w:rStyle w:val="Hyperlink"/>
            <w:noProof/>
          </w:rPr>
          <w:t>Introduction</w:t>
        </w:r>
        <w:r w:rsidR="00057720">
          <w:rPr>
            <w:noProof/>
            <w:webHidden/>
          </w:rPr>
          <w:tab/>
        </w:r>
        <w:r w:rsidR="00057720">
          <w:rPr>
            <w:noProof/>
            <w:webHidden/>
          </w:rPr>
          <w:fldChar w:fldCharType="begin"/>
        </w:r>
        <w:r w:rsidR="00057720">
          <w:rPr>
            <w:noProof/>
            <w:webHidden/>
          </w:rPr>
          <w:instrText xml:space="preserve"> PAGEREF _Toc170917796 \h </w:instrText>
        </w:r>
        <w:r w:rsidR="00057720">
          <w:rPr>
            <w:noProof/>
            <w:webHidden/>
          </w:rPr>
        </w:r>
        <w:r w:rsidR="00057720">
          <w:rPr>
            <w:noProof/>
            <w:webHidden/>
          </w:rPr>
          <w:fldChar w:fldCharType="separate"/>
        </w:r>
        <w:r w:rsidR="00057720">
          <w:rPr>
            <w:noProof/>
            <w:webHidden/>
          </w:rPr>
          <w:t>5</w:t>
        </w:r>
        <w:r w:rsidR="00057720">
          <w:rPr>
            <w:noProof/>
            <w:webHidden/>
          </w:rPr>
          <w:fldChar w:fldCharType="end"/>
        </w:r>
      </w:hyperlink>
    </w:p>
    <w:p w14:paraId="6BDF2200" w14:textId="20168FA3" w:rsidR="00057720" w:rsidRDefault="00C97261">
      <w:pPr>
        <w:pStyle w:val="TOC1"/>
        <w:rPr>
          <w:rFonts w:eastAsiaTheme="minorEastAsia"/>
          <w:noProof/>
          <w:kern w:val="2"/>
          <w:sz w:val="24"/>
          <w:szCs w:val="24"/>
          <w:lang w:eastAsia="en-AU"/>
          <w14:ligatures w14:val="standardContextual"/>
        </w:rPr>
      </w:pPr>
      <w:hyperlink w:anchor="_Toc170917797" w:history="1">
        <w:r w:rsidR="00057720" w:rsidRPr="00070E61">
          <w:rPr>
            <w:rStyle w:val="Hyperlink"/>
            <w:noProof/>
          </w:rPr>
          <w:t>Purpose of the Investment Plan</w:t>
        </w:r>
        <w:r w:rsidR="00057720">
          <w:rPr>
            <w:noProof/>
            <w:webHidden/>
          </w:rPr>
          <w:tab/>
        </w:r>
        <w:r w:rsidR="00057720">
          <w:rPr>
            <w:noProof/>
            <w:webHidden/>
          </w:rPr>
          <w:fldChar w:fldCharType="begin"/>
        </w:r>
        <w:r w:rsidR="00057720">
          <w:rPr>
            <w:noProof/>
            <w:webHidden/>
          </w:rPr>
          <w:instrText xml:space="preserve"> PAGEREF _Toc170917797 \h </w:instrText>
        </w:r>
        <w:r w:rsidR="00057720">
          <w:rPr>
            <w:noProof/>
            <w:webHidden/>
          </w:rPr>
        </w:r>
        <w:r w:rsidR="00057720">
          <w:rPr>
            <w:noProof/>
            <w:webHidden/>
          </w:rPr>
          <w:fldChar w:fldCharType="separate"/>
        </w:r>
        <w:r w:rsidR="00057720">
          <w:rPr>
            <w:noProof/>
            <w:webHidden/>
          </w:rPr>
          <w:t>6</w:t>
        </w:r>
        <w:r w:rsidR="00057720">
          <w:rPr>
            <w:noProof/>
            <w:webHidden/>
          </w:rPr>
          <w:fldChar w:fldCharType="end"/>
        </w:r>
      </w:hyperlink>
    </w:p>
    <w:p w14:paraId="6A284020" w14:textId="0C74CBAE" w:rsidR="00057720" w:rsidRDefault="00C97261">
      <w:pPr>
        <w:pStyle w:val="TOC2"/>
        <w:tabs>
          <w:tab w:val="right" w:leader="dot" w:pos="9016"/>
        </w:tabs>
        <w:rPr>
          <w:rFonts w:eastAsiaTheme="minorEastAsia"/>
          <w:noProof/>
          <w:kern w:val="2"/>
          <w:sz w:val="24"/>
          <w:szCs w:val="24"/>
          <w:lang w:eastAsia="en-AU"/>
          <w14:ligatures w14:val="standardContextual"/>
        </w:rPr>
      </w:pPr>
      <w:hyperlink w:anchor="_Toc170917798" w:history="1">
        <w:r w:rsidR="00057720" w:rsidRPr="00070E61">
          <w:rPr>
            <w:rStyle w:val="Hyperlink"/>
            <w:rFonts w:eastAsia="Calibri"/>
            <w:noProof/>
          </w:rPr>
          <w:t>Stages</w:t>
        </w:r>
        <w:r w:rsidR="00057720">
          <w:rPr>
            <w:noProof/>
            <w:webHidden/>
          </w:rPr>
          <w:tab/>
        </w:r>
        <w:r w:rsidR="00057720">
          <w:rPr>
            <w:noProof/>
            <w:webHidden/>
          </w:rPr>
          <w:fldChar w:fldCharType="begin"/>
        </w:r>
        <w:r w:rsidR="00057720">
          <w:rPr>
            <w:noProof/>
            <w:webHidden/>
          </w:rPr>
          <w:instrText xml:space="preserve"> PAGEREF _Toc170917798 \h </w:instrText>
        </w:r>
        <w:r w:rsidR="00057720">
          <w:rPr>
            <w:noProof/>
            <w:webHidden/>
          </w:rPr>
        </w:r>
        <w:r w:rsidR="00057720">
          <w:rPr>
            <w:noProof/>
            <w:webHidden/>
          </w:rPr>
          <w:fldChar w:fldCharType="separate"/>
        </w:r>
        <w:r w:rsidR="00057720">
          <w:rPr>
            <w:noProof/>
            <w:webHidden/>
          </w:rPr>
          <w:t>6</w:t>
        </w:r>
        <w:r w:rsidR="00057720">
          <w:rPr>
            <w:noProof/>
            <w:webHidden/>
          </w:rPr>
          <w:fldChar w:fldCharType="end"/>
        </w:r>
      </w:hyperlink>
    </w:p>
    <w:p w14:paraId="2530FBA5" w14:textId="6ED0C224" w:rsidR="00057720" w:rsidRDefault="00C97261">
      <w:pPr>
        <w:pStyle w:val="TOC2"/>
        <w:tabs>
          <w:tab w:val="right" w:leader="dot" w:pos="9016"/>
        </w:tabs>
        <w:rPr>
          <w:rFonts w:eastAsiaTheme="minorEastAsia"/>
          <w:noProof/>
          <w:kern w:val="2"/>
          <w:sz w:val="24"/>
          <w:szCs w:val="24"/>
          <w:lang w:eastAsia="en-AU"/>
          <w14:ligatures w14:val="standardContextual"/>
        </w:rPr>
      </w:pPr>
      <w:hyperlink w:anchor="_Toc170917799" w:history="1">
        <w:r w:rsidR="00057720" w:rsidRPr="00070E61">
          <w:rPr>
            <w:rStyle w:val="Hyperlink"/>
            <w:noProof/>
          </w:rPr>
          <w:t>Funding available</w:t>
        </w:r>
        <w:r w:rsidR="00057720">
          <w:rPr>
            <w:noProof/>
            <w:webHidden/>
          </w:rPr>
          <w:tab/>
        </w:r>
        <w:r w:rsidR="00057720">
          <w:rPr>
            <w:noProof/>
            <w:webHidden/>
          </w:rPr>
          <w:fldChar w:fldCharType="begin"/>
        </w:r>
        <w:r w:rsidR="00057720">
          <w:rPr>
            <w:noProof/>
            <w:webHidden/>
          </w:rPr>
          <w:instrText xml:space="preserve"> PAGEREF _Toc170917799 \h </w:instrText>
        </w:r>
        <w:r w:rsidR="00057720">
          <w:rPr>
            <w:noProof/>
            <w:webHidden/>
          </w:rPr>
        </w:r>
        <w:r w:rsidR="00057720">
          <w:rPr>
            <w:noProof/>
            <w:webHidden/>
          </w:rPr>
          <w:fldChar w:fldCharType="separate"/>
        </w:r>
        <w:r w:rsidR="00057720">
          <w:rPr>
            <w:noProof/>
            <w:webHidden/>
          </w:rPr>
          <w:t>7</w:t>
        </w:r>
        <w:r w:rsidR="00057720">
          <w:rPr>
            <w:noProof/>
            <w:webHidden/>
          </w:rPr>
          <w:fldChar w:fldCharType="end"/>
        </w:r>
      </w:hyperlink>
    </w:p>
    <w:p w14:paraId="6332B19F" w14:textId="0B5B3503" w:rsidR="00057720" w:rsidRDefault="00C97261">
      <w:pPr>
        <w:pStyle w:val="TOC2"/>
        <w:tabs>
          <w:tab w:val="right" w:leader="dot" w:pos="9016"/>
        </w:tabs>
        <w:rPr>
          <w:rFonts w:eastAsiaTheme="minorEastAsia"/>
          <w:noProof/>
          <w:kern w:val="2"/>
          <w:sz w:val="24"/>
          <w:szCs w:val="24"/>
          <w:lang w:eastAsia="en-AU"/>
          <w14:ligatures w14:val="standardContextual"/>
        </w:rPr>
      </w:pPr>
      <w:hyperlink w:anchor="_Toc170917800" w:history="1">
        <w:r w:rsidR="00057720" w:rsidRPr="00070E61">
          <w:rPr>
            <w:rStyle w:val="Hyperlink"/>
            <w:noProof/>
          </w:rPr>
          <w:t>Participation</w:t>
        </w:r>
        <w:r w:rsidR="00057720">
          <w:rPr>
            <w:noProof/>
            <w:webHidden/>
          </w:rPr>
          <w:tab/>
        </w:r>
        <w:r w:rsidR="00057720">
          <w:rPr>
            <w:noProof/>
            <w:webHidden/>
          </w:rPr>
          <w:fldChar w:fldCharType="begin"/>
        </w:r>
        <w:r w:rsidR="00057720">
          <w:rPr>
            <w:noProof/>
            <w:webHidden/>
          </w:rPr>
          <w:instrText xml:space="preserve"> PAGEREF _Toc170917800 \h </w:instrText>
        </w:r>
        <w:r w:rsidR="00057720">
          <w:rPr>
            <w:noProof/>
            <w:webHidden/>
          </w:rPr>
        </w:r>
        <w:r w:rsidR="00057720">
          <w:rPr>
            <w:noProof/>
            <w:webHidden/>
          </w:rPr>
          <w:fldChar w:fldCharType="separate"/>
        </w:r>
        <w:r w:rsidR="00057720">
          <w:rPr>
            <w:noProof/>
            <w:webHidden/>
          </w:rPr>
          <w:t>7</w:t>
        </w:r>
        <w:r w:rsidR="00057720">
          <w:rPr>
            <w:noProof/>
            <w:webHidden/>
          </w:rPr>
          <w:fldChar w:fldCharType="end"/>
        </w:r>
      </w:hyperlink>
    </w:p>
    <w:p w14:paraId="2AD501F2" w14:textId="20BF8201" w:rsidR="00057720" w:rsidRDefault="00C97261">
      <w:pPr>
        <w:pStyle w:val="TOC1"/>
        <w:rPr>
          <w:rFonts w:eastAsiaTheme="minorEastAsia"/>
          <w:noProof/>
          <w:kern w:val="2"/>
          <w:sz w:val="24"/>
          <w:szCs w:val="24"/>
          <w:lang w:eastAsia="en-AU"/>
          <w14:ligatures w14:val="standardContextual"/>
        </w:rPr>
      </w:pPr>
      <w:hyperlink w:anchor="_Toc170917801" w:history="1">
        <w:r w:rsidR="00057720" w:rsidRPr="00070E61">
          <w:rPr>
            <w:rStyle w:val="Hyperlink"/>
            <w:noProof/>
          </w:rPr>
          <w:t>AEA Investment Priorities</w:t>
        </w:r>
        <w:r w:rsidR="00057720">
          <w:rPr>
            <w:noProof/>
            <w:webHidden/>
          </w:rPr>
          <w:tab/>
        </w:r>
        <w:r w:rsidR="00057720">
          <w:rPr>
            <w:noProof/>
            <w:webHidden/>
          </w:rPr>
          <w:fldChar w:fldCharType="begin"/>
        </w:r>
        <w:r w:rsidR="00057720">
          <w:rPr>
            <w:noProof/>
            <w:webHidden/>
          </w:rPr>
          <w:instrText xml:space="preserve"> PAGEREF _Toc170917801 \h </w:instrText>
        </w:r>
        <w:r w:rsidR="00057720">
          <w:rPr>
            <w:noProof/>
            <w:webHidden/>
          </w:rPr>
        </w:r>
        <w:r w:rsidR="00057720">
          <w:rPr>
            <w:noProof/>
            <w:webHidden/>
          </w:rPr>
          <w:fldChar w:fldCharType="separate"/>
        </w:r>
        <w:r w:rsidR="00057720">
          <w:rPr>
            <w:noProof/>
            <w:webHidden/>
          </w:rPr>
          <w:t>8</w:t>
        </w:r>
        <w:r w:rsidR="00057720">
          <w:rPr>
            <w:noProof/>
            <w:webHidden/>
          </w:rPr>
          <w:fldChar w:fldCharType="end"/>
        </w:r>
      </w:hyperlink>
    </w:p>
    <w:p w14:paraId="48B86AF1" w14:textId="5C657B20" w:rsidR="00057720" w:rsidRDefault="00C97261">
      <w:pPr>
        <w:pStyle w:val="TOC2"/>
        <w:tabs>
          <w:tab w:val="right" w:leader="dot" w:pos="9016"/>
        </w:tabs>
        <w:rPr>
          <w:rFonts w:eastAsiaTheme="minorEastAsia"/>
          <w:noProof/>
          <w:kern w:val="2"/>
          <w:sz w:val="24"/>
          <w:szCs w:val="24"/>
          <w:lang w:eastAsia="en-AU"/>
          <w14:ligatures w14:val="standardContextual"/>
        </w:rPr>
      </w:pPr>
      <w:hyperlink w:anchor="_Toc170917802" w:history="1">
        <w:r w:rsidR="00057720" w:rsidRPr="00070E61">
          <w:rPr>
            <w:rStyle w:val="Hyperlink"/>
            <w:noProof/>
          </w:rPr>
          <w:t>Areas of national priority</w:t>
        </w:r>
        <w:r w:rsidR="00057720">
          <w:rPr>
            <w:noProof/>
            <w:webHidden/>
          </w:rPr>
          <w:tab/>
        </w:r>
        <w:r w:rsidR="00057720">
          <w:rPr>
            <w:noProof/>
            <w:webHidden/>
          </w:rPr>
          <w:fldChar w:fldCharType="begin"/>
        </w:r>
        <w:r w:rsidR="00057720">
          <w:rPr>
            <w:noProof/>
            <w:webHidden/>
          </w:rPr>
          <w:instrText xml:space="preserve"> PAGEREF _Toc170917802 \h </w:instrText>
        </w:r>
        <w:r w:rsidR="00057720">
          <w:rPr>
            <w:noProof/>
            <w:webHidden/>
          </w:rPr>
        </w:r>
        <w:r w:rsidR="00057720">
          <w:rPr>
            <w:noProof/>
            <w:webHidden/>
          </w:rPr>
          <w:fldChar w:fldCharType="separate"/>
        </w:r>
        <w:r w:rsidR="00057720">
          <w:rPr>
            <w:noProof/>
            <w:webHidden/>
          </w:rPr>
          <w:t>8</w:t>
        </w:r>
        <w:r w:rsidR="00057720">
          <w:rPr>
            <w:noProof/>
            <w:webHidden/>
          </w:rPr>
          <w:fldChar w:fldCharType="end"/>
        </w:r>
      </w:hyperlink>
    </w:p>
    <w:p w14:paraId="65EB8B12" w14:textId="51F40AC6" w:rsidR="00057720" w:rsidRDefault="00C97261">
      <w:pPr>
        <w:pStyle w:val="TOC2"/>
        <w:tabs>
          <w:tab w:val="right" w:leader="dot" w:pos="9016"/>
        </w:tabs>
        <w:rPr>
          <w:rFonts w:eastAsiaTheme="minorEastAsia"/>
          <w:noProof/>
          <w:kern w:val="2"/>
          <w:sz w:val="24"/>
          <w:szCs w:val="24"/>
          <w:lang w:eastAsia="en-AU"/>
          <w14:ligatures w14:val="standardContextual"/>
        </w:rPr>
      </w:pPr>
      <w:hyperlink w:anchor="_Toc170917803" w:history="1">
        <w:r w:rsidR="00057720" w:rsidRPr="00070E61">
          <w:rPr>
            <w:rStyle w:val="Hyperlink"/>
            <w:noProof/>
          </w:rPr>
          <w:t>AEA focus areas</w:t>
        </w:r>
        <w:r w:rsidR="00057720">
          <w:rPr>
            <w:noProof/>
            <w:webHidden/>
          </w:rPr>
          <w:tab/>
        </w:r>
        <w:r w:rsidR="00057720">
          <w:rPr>
            <w:noProof/>
            <w:webHidden/>
          </w:rPr>
          <w:fldChar w:fldCharType="begin"/>
        </w:r>
        <w:r w:rsidR="00057720">
          <w:rPr>
            <w:noProof/>
            <w:webHidden/>
          </w:rPr>
          <w:instrText xml:space="preserve"> PAGEREF _Toc170917803 \h </w:instrText>
        </w:r>
        <w:r w:rsidR="00057720">
          <w:rPr>
            <w:noProof/>
            <w:webHidden/>
          </w:rPr>
        </w:r>
        <w:r w:rsidR="00057720">
          <w:rPr>
            <w:noProof/>
            <w:webHidden/>
          </w:rPr>
          <w:fldChar w:fldCharType="separate"/>
        </w:r>
        <w:r w:rsidR="00057720">
          <w:rPr>
            <w:noProof/>
            <w:webHidden/>
          </w:rPr>
          <w:t>9</w:t>
        </w:r>
        <w:r w:rsidR="00057720">
          <w:rPr>
            <w:noProof/>
            <w:webHidden/>
          </w:rPr>
          <w:fldChar w:fldCharType="end"/>
        </w:r>
      </w:hyperlink>
    </w:p>
    <w:p w14:paraId="1843247B" w14:textId="4CF779DA" w:rsidR="00057720" w:rsidRDefault="00C97261">
      <w:pPr>
        <w:pStyle w:val="TOC3"/>
        <w:tabs>
          <w:tab w:val="right" w:leader="dot" w:pos="9016"/>
        </w:tabs>
        <w:rPr>
          <w:rFonts w:eastAsiaTheme="minorEastAsia"/>
          <w:noProof/>
          <w:kern w:val="2"/>
          <w:sz w:val="24"/>
          <w:szCs w:val="24"/>
          <w:lang w:eastAsia="en-AU"/>
          <w14:ligatures w14:val="standardContextual"/>
        </w:rPr>
      </w:pPr>
      <w:hyperlink w:anchor="_Toc170917804" w:history="1">
        <w:r w:rsidR="00057720" w:rsidRPr="00070E61">
          <w:rPr>
            <w:rStyle w:val="Hyperlink"/>
            <w:rFonts w:eastAsia="Calibri"/>
            <w:noProof/>
          </w:rPr>
          <w:t>Approach</w:t>
        </w:r>
        <w:r w:rsidR="00057720">
          <w:rPr>
            <w:noProof/>
            <w:webHidden/>
          </w:rPr>
          <w:tab/>
        </w:r>
        <w:r w:rsidR="00057720">
          <w:rPr>
            <w:noProof/>
            <w:webHidden/>
          </w:rPr>
          <w:fldChar w:fldCharType="begin"/>
        </w:r>
        <w:r w:rsidR="00057720">
          <w:rPr>
            <w:noProof/>
            <w:webHidden/>
          </w:rPr>
          <w:instrText xml:space="preserve"> PAGEREF _Toc170917804 \h </w:instrText>
        </w:r>
        <w:r w:rsidR="00057720">
          <w:rPr>
            <w:noProof/>
            <w:webHidden/>
          </w:rPr>
        </w:r>
        <w:r w:rsidR="00057720">
          <w:rPr>
            <w:noProof/>
            <w:webHidden/>
          </w:rPr>
          <w:fldChar w:fldCharType="separate"/>
        </w:r>
        <w:r w:rsidR="00057720">
          <w:rPr>
            <w:noProof/>
            <w:webHidden/>
          </w:rPr>
          <w:t>9</w:t>
        </w:r>
        <w:r w:rsidR="00057720">
          <w:rPr>
            <w:noProof/>
            <w:webHidden/>
          </w:rPr>
          <w:fldChar w:fldCharType="end"/>
        </w:r>
      </w:hyperlink>
    </w:p>
    <w:p w14:paraId="62DB4E96" w14:textId="6C8F695F" w:rsidR="00057720" w:rsidRDefault="00C97261">
      <w:pPr>
        <w:pStyle w:val="TOC3"/>
        <w:tabs>
          <w:tab w:val="right" w:leader="dot" w:pos="9016"/>
        </w:tabs>
        <w:rPr>
          <w:rFonts w:eastAsiaTheme="minorEastAsia"/>
          <w:noProof/>
          <w:kern w:val="2"/>
          <w:sz w:val="24"/>
          <w:szCs w:val="24"/>
          <w:lang w:eastAsia="en-AU"/>
          <w14:ligatures w14:val="standardContextual"/>
        </w:rPr>
      </w:pPr>
      <w:hyperlink w:anchor="_Toc170917805" w:history="1">
        <w:r w:rsidR="00057720" w:rsidRPr="00070E61">
          <w:rPr>
            <w:rStyle w:val="Hyperlink"/>
            <w:rFonts w:eastAsia="Calibri"/>
            <w:noProof/>
          </w:rPr>
          <w:t>Identified focus areas</w:t>
        </w:r>
        <w:r w:rsidR="00057720">
          <w:rPr>
            <w:noProof/>
            <w:webHidden/>
          </w:rPr>
          <w:tab/>
        </w:r>
        <w:r w:rsidR="00057720">
          <w:rPr>
            <w:noProof/>
            <w:webHidden/>
          </w:rPr>
          <w:fldChar w:fldCharType="begin"/>
        </w:r>
        <w:r w:rsidR="00057720">
          <w:rPr>
            <w:noProof/>
            <w:webHidden/>
          </w:rPr>
          <w:instrText xml:space="preserve"> PAGEREF _Toc170917805 \h </w:instrText>
        </w:r>
        <w:r w:rsidR="00057720">
          <w:rPr>
            <w:noProof/>
            <w:webHidden/>
          </w:rPr>
        </w:r>
        <w:r w:rsidR="00057720">
          <w:rPr>
            <w:noProof/>
            <w:webHidden/>
          </w:rPr>
          <w:fldChar w:fldCharType="separate"/>
        </w:r>
        <w:r w:rsidR="00057720">
          <w:rPr>
            <w:noProof/>
            <w:webHidden/>
          </w:rPr>
          <w:t>9</w:t>
        </w:r>
        <w:r w:rsidR="00057720">
          <w:rPr>
            <w:noProof/>
            <w:webHidden/>
          </w:rPr>
          <w:fldChar w:fldCharType="end"/>
        </w:r>
      </w:hyperlink>
    </w:p>
    <w:p w14:paraId="1262AA69" w14:textId="48110BB0" w:rsidR="00057720" w:rsidRDefault="00C97261">
      <w:pPr>
        <w:pStyle w:val="TOC1"/>
        <w:rPr>
          <w:rFonts w:eastAsiaTheme="minorEastAsia"/>
          <w:noProof/>
          <w:kern w:val="2"/>
          <w:sz w:val="24"/>
          <w:szCs w:val="24"/>
          <w:lang w:eastAsia="en-AU"/>
          <w14:ligatures w14:val="standardContextual"/>
        </w:rPr>
      </w:pPr>
      <w:hyperlink w:anchor="_Toc170917806" w:history="1">
        <w:r w:rsidR="00057720" w:rsidRPr="00070E61">
          <w:rPr>
            <w:rStyle w:val="Hyperlink"/>
            <w:noProof/>
          </w:rPr>
          <w:t>Future work</w:t>
        </w:r>
        <w:r w:rsidR="00057720">
          <w:rPr>
            <w:noProof/>
            <w:webHidden/>
          </w:rPr>
          <w:tab/>
        </w:r>
        <w:r w:rsidR="00057720">
          <w:rPr>
            <w:noProof/>
            <w:webHidden/>
          </w:rPr>
          <w:fldChar w:fldCharType="begin"/>
        </w:r>
        <w:r w:rsidR="00057720">
          <w:rPr>
            <w:noProof/>
            <w:webHidden/>
          </w:rPr>
          <w:instrText xml:space="preserve"> PAGEREF _Toc170917806 \h </w:instrText>
        </w:r>
        <w:r w:rsidR="00057720">
          <w:rPr>
            <w:noProof/>
            <w:webHidden/>
          </w:rPr>
        </w:r>
        <w:r w:rsidR="00057720">
          <w:rPr>
            <w:noProof/>
            <w:webHidden/>
          </w:rPr>
          <w:fldChar w:fldCharType="separate"/>
        </w:r>
        <w:r w:rsidR="00057720">
          <w:rPr>
            <w:noProof/>
            <w:webHidden/>
          </w:rPr>
          <w:t>12</w:t>
        </w:r>
        <w:r w:rsidR="00057720">
          <w:rPr>
            <w:noProof/>
            <w:webHidden/>
          </w:rPr>
          <w:fldChar w:fldCharType="end"/>
        </w:r>
      </w:hyperlink>
    </w:p>
    <w:p w14:paraId="6E30306B" w14:textId="74F7185F" w:rsidR="00057720" w:rsidRDefault="00C97261">
      <w:pPr>
        <w:pStyle w:val="TOC1"/>
        <w:rPr>
          <w:rFonts w:eastAsiaTheme="minorEastAsia"/>
          <w:noProof/>
          <w:kern w:val="2"/>
          <w:sz w:val="24"/>
          <w:szCs w:val="24"/>
          <w:lang w:eastAsia="en-AU"/>
          <w14:ligatures w14:val="standardContextual"/>
        </w:rPr>
      </w:pPr>
      <w:hyperlink w:anchor="_Toc170917807" w:history="1">
        <w:r w:rsidR="00057720" w:rsidRPr="00070E61">
          <w:rPr>
            <w:rStyle w:val="Hyperlink"/>
            <w:noProof/>
          </w:rPr>
          <w:t>Appendix – AEA Focus Area Profiles</w:t>
        </w:r>
        <w:r w:rsidR="00057720">
          <w:rPr>
            <w:noProof/>
            <w:webHidden/>
          </w:rPr>
          <w:tab/>
        </w:r>
        <w:r w:rsidR="00057720">
          <w:rPr>
            <w:noProof/>
            <w:webHidden/>
          </w:rPr>
          <w:fldChar w:fldCharType="begin"/>
        </w:r>
        <w:r w:rsidR="00057720">
          <w:rPr>
            <w:noProof/>
            <w:webHidden/>
          </w:rPr>
          <w:instrText xml:space="preserve"> PAGEREF _Toc170917807 \h </w:instrText>
        </w:r>
        <w:r w:rsidR="00057720">
          <w:rPr>
            <w:noProof/>
            <w:webHidden/>
          </w:rPr>
        </w:r>
        <w:r w:rsidR="00057720">
          <w:rPr>
            <w:noProof/>
            <w:webHidden/>
          </w:rPr>
          <w:fldChar w:fldCharType="separate"/>
        </w:r>
        <w:r w:rsidR="00057720">
          <w:rPr>
            <w:noProof/>
            <w:webHidden/>
          </w:rPr>
          <w:t>13</w:t>
        </w:r>
        <w:r w:rsidR="00057720">
          <w:rPr>
            <w:noProof/>
            <w:webHidden/>
          </w:rPr>
          <w:fldChar w:fldCharType="end"/>
        </w:r>
      </w:hyperlink>
    </w:p>
    <w:p w14:paraId="24DE2967" w14:textId="2BA821DE" w:rsidR="0017134D" w:rsidRDefault="00AF1F18">
      <w:r>
        <w:fldChar w:fldCharType="end"/>
      </w:r>
      <w:r w:rsidR="0017134D">
        <w:br w:type="page"/>
      </w:r>
    </w:p>
    <w:p w14:paraId="2DA235A7" w14:textId="5E2C886F" w:rsidR="004968DD" w:rsidRDefault="00677679" w:rsidP="004968DD">
      <w:pPr>
        <w:pStyle w:val="Heading2"/>
      </w:pPr>
      <w:bookmarkStart w:id="2" w:name="_Toc170917795"/>
      <w:r>
        <w:lastRenderedPageBreak/>
        <w:t>Foreword</w:t>
      </w:r>
      <w:bookmarkEnd w:id="2"/>
    </w:p>
    <w:p w14:paraId="0493975A" w14:textId="794C89A2" w:rsidR="00454F19" w:rsidRDefault="00454F19" w:rsidP="00454F19">
      <w:pPr>
        <w:rPr>
          <w:rStyle w:val="normaltextrun"/>
          <w:rFonts w:ascii="Calibri" w:hAnsi="Calibri" w:cs="Calibri"/>
          <w:shd w:val="clear" w:color="auto" w:fill="FFFFFF"/>
        </w:rPr>
      </w:pPr>
      <w:r>
        <w:rPr>
          <w:rStyle w:val="normaltextrun"/>
          <w:rFonts w:ascii="Calibri" w:hAnsi="Calibri" w:cs="Calibri"/>
          <w:color w:val="000000"/>
          <w:shd w:val="clear" w:color="auto" w:fill="FFFFFF"/>
        </w:rPr>
        <w:t xml:space="preserve">As the inaugural </w:t>
      </w:r>
      <w:r w:rsidR="0001731B">
        <w:rPr>
          <w:rStyle w:val="normaltextrun"/>
          <w:rFonts w:ascii="Calibri" w:hAnsi="Calibri" w:cs="Calibri"/>
          <w:color w:val="000000"/>
          <w:shd w:val="clear" w:color="auto" w:fill="FFFFFF"/>
        </w:rPr>
        <w:t>C</w:t>
      </w:r>
      <w:r>
        <w:rPr>
          <w:rStyle w:val="normaltextrun"/>
          <w:rFonts w:ascii="Calibri" w:hAnsi="Calibri" w:cs="Calibri"/>
          <w:color w:val="000000"/>
          <w:shd w:val="clear" w:color="auto" w:fill="FFFFFF"/>
        </w:rPr>
        <w:t xml:space="preserve">hair of the Australia’s Economic Accelerator (AEA) </w:t>
      </w:r>
      <w:r w:rsidR="0001731B">
        <w:rPr>
          <w:rStyle w:val="normaltextrun"/>
          <w:rFonts w:ascii="Calibri" w:hAnsi="Calibri" w:cs="Calibri"/>
          <w:color w:val="000000"/>
          <w:shd w:val="clear" w:color="auto" w:fill="FFFFFF"/>
        </w:rPr>
        <w:t xml:space="preserve">Advisory </w:t>
      </w:r>
      <w:r w:rsidR="00F155CA">
        <w:rPr>
          <w:rStyle w:val="normaltextrun"/>
          <w:rFonts w:ascii="Calibri" w:hAnsi="Calibri" w:cs="Calibri"/>
          <w:color w:val="000000"/>
          <w:shd w:val="clear" w:color="auto" w:fill="FFFFFF"/>
        </w:rPr>
        <w:t>B</w:t>
      </w:r>
      <w:r>
        <w:rPr>
          <w:rStyle w:val="normaltextrun"/>
          <w:rFonts w:ascii="Calibri" w:hAnsi="Calibri" w:cs="Calibri"/>
          <w:color w:val="000000"/>
          <w:shd w:val="clear" w:color="auto" w:fill="FFFFFF"/>
        </w:rPr>
        <w:t>oard</w:t>
      </w:r>
      <w:r w:rsidR="00CF7E2A">
        <w:rPr>
          <w:rStyle w:val="normaltextrun"/>
          <w:rFonts w:ascii="Calibri" w:hAnsi="Calibri" w:cs="Calibri"/>
          <w:color w:val="000000"/>
          <w:shd w:val="clear" w:color="auto" w:fill="FFFFFF"/>
        </w:rPr>
        <w:t>.</w:t>
      </w:r>
      <w:r>
        <w:rPr>
          <w:rStyle w:val="normaltextrun"/>
          <w:rFonts w:ascii="Calibri" w:hAnsi="Calibri" w:cs="Calibri"/>
          <w:color w:val="000000"/>
          <w:shd w:val="clear" w:color="auto" w:fill="FFFFFF"/>
        </w:rPr>
        <w:t xml:space="preserve"> I am pleased to present the first AEA program investment plan for 2024-2025. </w:t>
      </w:r>
    </w:p>
    <w:p w14:paraId="2D221450" w14:textId="4EFA1685" w:rsidR="00454F19" w:rsidRDefault="00454F19" w:rsidP="00454F19">
      <w:pPr>
        <w:rPr>
          <w:rStyle w:val="normaltextrun"/>
          <w:rFonts w:ascii="Calibri" w:hAnsi="Calibri" w:cs="Calibri"/>
          <w:shd w:val="clear" w:color="auto" w:fill="FFFFFF"/>
        </w:rPr>
      </w:pPr>
      <w:r>
        <w:rPr>
          <w:rStyle w:val="normaltextrun"/>
          <w:rFonts w:ascii="Calibri" w:hAnsi="Calibri" w:cs="Calibri"/>
          <w:color w:val="000000"/>
          <w:shd w:val="clear" w:color="auto" w:fill="FFFFFF"/>
        </w:rPr>
        <w:t xml:space="preserve">This plan provides early and critical guidance, informed by the </w:t>
      </w:r>
      <w:r>
        <w:rPr>
          <w:rFonts w:ascii="Calibri" w:hAnsi="Calibri" w:cs="Calibri"/>
          <w:color w:val="000000"/>
          <w:shd w:val="clear" w:color="auto" w:fill="FFFFFF"/>
        </w:rPr>
        <w:t xml:space="preserve">experience and expertise of the Board, broader Government economic priorities such as the </w:t>
      </w:r>
      <w:r>
        <w:rPr>
          <w:rFonts w:ascii="Calibri" w:hAnsi="Calibri" w:cs="Calibri"/>
          <w:i/>
          <w:iCs/>
          <w:color w:val="000000"/>
          <w:shd w:val="clear" w:color="auto" w:fill="FFFFFF"/>
        </w:rPr>
        <w:t>Future Made in Australia</w:t>
      </w:r>
      <w:r>
        <w:rPr>
          <w:rFonts w:ascii="Calibri" w:hAnsi="Calibri" w:cs="Calibri"/>
          <w:color w:val="000000"/>
          <w:shd w:val="clear" w:color="auto" w:fill="FFFFFF"/>
        </w:rPr>
        <w:t xml:space="preserve"> agenda </w:t>
      </w:r>
      <w:r w:rsidR="00375EDE">
        <w:rPr>
          <w:rFonts w:ascii="Calibri" w:hAnsi="Calibri" w:cs="Calibri"/>
          <w:color w:val="000000"/>
          <w:shd w:val="clear" w:color="auto" w:fill="FFFFFF"/>
        </w:rPr>
        <w:t xml:space="preserve">and the National Reconstruction Fund, </w:t>
      </w:r>
      <w:r>
        <w:rPr>
          <w:rFonts w:ascii="Calibri" w:hAnsi="Calibri" w:cs="Calibri"/>
          <w:color w:val="000000"/>
          <w:shd w:val="clear" w:color="auto" w:fill="FFFFFF"/>
        </w:rPr>
        <w:t>as well as the lessons gleaned from the initial pilot rounds of AEA and consultation with industry and the university research sector. The plan will</w:t>
      </w:r>
      <w:r>
        <w:rPr>
          <w:rStyle w:val="normaltextrun"/>
          <w:rFonts w:ascii="Calibri" w:hAnsi="Calibri" w:cs="Calibri"/>
          <w:color w:val="000000"/>
          <w:shd w:val="clear" w:color="auto" w:fill="FFFFFF"/>
        </w:rPr>
        <w:t xml:space="preserve"> ensure that the AEA program meets its objective of supporting research in areas of national priority to progress the development of technologies and services to a state of commercial investor readiness.</w:t>
      </w:r>
    </w:p>
    <w:p w14:paraId="0F7218E2" w14:textId="452A6D45" w:rsidR="00454F19" w:rsidRDefault="00454F19" w:rsidP="00454F19">
      <w:pPr>
        <w:rPr>
          <w:rStyle w:val="normaltextrun"/>
          <w:rFonts w:ascii="Calibri" w:hAnsi="Calibri" w:cs="Calibri"/>
          <w:shd w:val="clear" w:color="auto" w:fill="FFFFFF"/>
        </w:rPr>
      </w:pPr>
      <w:r>
        <w:rPr>
          <w:rStyle w:val="normaltextrun"/>
          <w:rFonts w:ascii="Calibri" w:hAnsi="Calibri" w:cs="Calibri"/>
          <w:color w:val="000000"/>
          <w:shd w:val="clear" w:color="auto" w:fill="FFFFFF"/>
        </w:rPr>
        <w:t xml:space="preserve">A key feature of this first investment plan is that the Board has determined </w:t>
      </w:r>
      <w:r w:rsidR="00375EDE">
        <w:rPr>
          <w:rStyle w:val="normaltextrun"/>
          <w:rFonts w:ascii="Calibri" w:hAnsi="Calibri" w:cs="Calibri"/>
          <w:color w:val="000000"/>
          <w:shd w:val="clear" w:color="auto" w:fill="FFFFFF"/>
        </w:rPr>
        <w:t xml:space="preserve">priorities for </w:t>
      </w:r>
      <w:r>
        <w:rPr>
          <w:rStyle w:val="normaltextrun"/>
          <w:rFonts w:ascii="Calibri" w:hAnsi="Calibri" w:cs="Calibri"/>
          <w:color w:val="000000"/>
          <w:shd w:val="clear" w:color="auto" w:fill="FFFFFF"/>
        </w:rPr>
        <w:t xml:space="preserve">the upcoming grant rounds. These focus areas have been identified through extensive engagement and have been selected to provide translation opportunities for the Australian research sector going forward. </w:t>
      </w:r>
    </w:p>
    <w:p w14:paraId="27314515" w14:textId="00CBFC53" w:rsidR="00454F19" w:rsidRDefault="00454F19" w:rsidP="00454F19">
      <w:pPr>
        <w:rPr>
          <w:rStyle w:val="normaltextrun"/>
          <w:rFonts w:ascii="Calibri" w:hAnsi="Calibri" w:cs="Calibri"/>
          <w:shd w:val="clear" w:color="auto" w:fill="FFFFFF"/>
        </w:rPr>
      </w:pPr>
      <w:r>
        <w:rPr>
          <w:rStyle w:val="normaltextrun"/>
          <w:rFonts w:ascii="Calibri" w:hAnsi="Calibri" w:cs="Calibri"/>
          <w:color w:val="000000"/>
          <w:shd w:val="clear" w:color="auto" w:fill="FFFFFF"/>
        </w:rPr>
        <w:t xml:space="preserve">The </w:t>
      </w:r>
      <w:r w:rsidR="00375EDE">
        <w:rPr>
          <w:rStyle w:val="normaltextrun"/>
          <w:rFonts w:ascii="Calibri" w:hAnsi="Calibri" w:cs="Calibri"/>
          <w:color w:val="000000"/>
          <w:shd w:val="clear" w:color="auto" w:fill="FFFFFF"/>
        </w:rPr>
        <w:t xml:space="preserve">members of the </w:t>
      </w:r>
      <w:r>
        <w:rPr>
          <w:rStyle w:val="normaltextrun"/>
          <w:rFonts w:ascii="Calibri" w:hAnsi="Calibri" w:cs="Calibri"/>
          <w:color w:val="000000"/>
          <w:shd w:val="clear" w:color="auto" w:fill="FFFFFF"/>
        </w:rPr>
        <w:t xml:space="preserve">AEA </w:t>
      </w:r>
      <w:r w:rsidR="00375EDE">
        <w:rPr>
          <w:rStyle w:val="normaltextrun"/>
          <w:rFonts w:ascii="Calibri" w:hAnsi="Calibri" w:cs="Calibri"/>
          <w:color w:val="000000"/>
          <w:shd w:val="clear" w:color="auto" w:fill="FFFFFF"/>
        </w:rPr>
        <w:t xml:space="preserve">Advisory </w:t>
      </w:r>
      <w:r>
        <w:rPr>
          <w:rStyle w:val="normaltextrun"/>
          <w:rFonts w:ascii="Calibri" w:hAnsi="Calibri" w:cs="Calibri"/>
          <w:color w:val="000000"/>
          <w:shd w:val="clear" w:color="auto" w:fill="FFFFFF"/>
        </w:rPr>
        <w:t xml:space="preserve">Board believe that the </w:t>
      </w:r>
      <w:r>
        <w:rPr>
          <w:rStyle w:val="normaltextrun"/>
          <w:rFonts w:ascii="Calibri" w:hAnsi="Calibri" w:cs="Calibri"/>
        </w:rPr>
        <w:t>identified f</w:t>
      </w:r>
      <w:r>
        <w:rPr>
          <w:rStyle w:val="normaltextrun"/>
          <w:rFonts w:ascii="Calibri" w:hAnsi="Calibri" w:cs="Calibri"/>
          <w:color w:val="000000"/>
          <w:shd w:val="clear" w:color="auto" w:fill="FFFFFF"/>
        </w:rPr>
        <w:t xml:space="preserve">ocus areas </w:t>
      </w:r>
      <w:r>
        <w:rPr>
          <w:rStyle w:val="normaltextrun"/>
          <w:rFonts w:ascii="Calibri" w:hAnsi="Calibri" w:cs="Calibri"/>
        </w:rPr>
        <w:t>will help guide the</w:t>
      </w:r>
      <w:r>
        <w:rPr>
          <w:rStyle w:val="normaltextrun"/>
          <w:rFonts w:ascii="Calibri" w:hAnsi="Calibri" w:cs="Calibri"/>
          <w:color w:val="000000"/>
          <w:shd w:val="clear" w:color="auto" w:fill="FFFFFF"/>
        </w:rPr>
        <w:t xml:space="preserve"> </w:t>
      </w:r>
      <w:r w:rsidR="00F029F6">
        <w:rPr>
          <w:rStyle w:val="normaltextrun"/>
          <w:rFonts w:ascii="Calibri" w:hAnsi="Calibri" w:cs="Calibri"/>
          <w:color w:val="000000"/>
          <w:shd w:val="clear" w:color="auto" w:fill="FFFFFF"/>
        </w:rPr>
        <w:t>u</w:t>
      </w:r>
      <w:r>
        <w:rPr>
          <w:rStyle w:val="normaltextrun"/>
          <w:rFonts w:ascii="Calibri" w:hAnsi="Calibri" w:cs="Calibri"/>
          <w:color w:val="000000"/>
          <w:shd w:val="clear" w:color="auto" w:fill="FFFFFF"/>
        </w:rPr>
        <w:t xml:space="preserve">niversity sector </w:t>
      </w:r>
      <w:r>
        <w:rPr>
          <w:rStyle w:val="normaltextrun"/>
          <w:rFonts w:ascii="Calibri" w:hAnsi="Calibri" w:cs="Calibri"/>
        </w:rPr>
        <w:t xml:space="preserve">in </w:t>
      </w:r>
      <w:r>
        <w:rPr>
          <w:rStyle w:val="normaltextrun"/>
          <w:rFonts w:ascii="Calibri" w:hAnsi="Calibri" w:cs="Calibri"/>
          <w:color w:val="000000"/>
          <w:shd w:val="clear" w:color="auto" w:fill="FFFFFF"/>
        </w:rPr>
        <w:t>select</w:t>
      </w:r>
      <w:r>
        <w:rPr>
          <w:rStyle w:val="normaltextrun"/>
          <w:rFonts w:ascii="Calibri" w:hAnsi="Calibri" w:cs="Calibri"/>
        </w:rPr>
        <w:t>ing</w:t>
      </w:r>
      <w:r>
        <w:rPr>
          <w:rStyle w:val="normaltextrun"/>
          <w:rFonts w:ascii="Calibri" w:hAnsi="Calibri" w:cs="Calibri"/>
          <w:color w:val="000000"/>
          <w:shd w:val="clear" w:color="auto" w:fill="FFFFFF"/>
        </w:rPr>
        <w:t xml:space="preserve"> projects and industry partners that will support and further their research </w:t>
      </w:r>
      <w:r>
        <w:rPr>
          <w:rStyle w:val="normaltextrun"/>
          <w:rFonts w:ascii="Calibri" w:hAnsi="Calibri" w:cs="Calibri"/>
        </w:rPr>
        <w:t>to achieve</w:t>
      </w:r>
      <w:r>
        <w:rPr>
          <w:rStyle w:val="normaltextrun"/>
          <w:rFonts w:ascii="Calibri" w:hAnsi="Calibri" w:cs="Calibri"/>
          <w:color w:val="000000"/>
          <w:shd w:val="clear" w:color="auto" w:fill="FFFFFF"/>
        </w:rPr>
        <w:t xml:space="preserve"> mutually beneficial translation and commercialisation goal</w:t>
      </w:r>
      <w:r>
        <w:rPr>
          <w:rStyle w:val="normaltextrun"/>
          <w:rFonts w:ascii="Calibri" w:hAnsi="Calibri" w:cs="Calibri"/>
        </w:rPr>
        <w:t>s.</w:t>
      </w:r>
      <w:r>
        <w:rPr>
          <w:rStyle w:val="normaltextrun"/>
          <w:rFonts w:ascii="Calibri" w:hAnsi="Calibri" w:cs="Calibri"/>
          <w:color w:val="000000"/>
          <w:shd w:val="clear" w:color="auto" w:fill="FFFFFF"/>
        </w:rPr>
        <w:t xml:space="preserve">  </w:t>
      </w:r>
    </w:p>
    <w:p w14:paraId="1E11769F" w14:textId="4BBF9BF8" w:rsidR="00677679" w:rsidRDefault="00454F19" w:rsidP="00677679">
      <w:r>
        <w:rPr>
          <w:rStyle w:val="normaltextrun"/>
          <w:rFonts w:ascii="Calibri" w:hAnsi="Calibri" w:cs="Calibri"/>
          <w:color w:val="000000"/>
          <w:shd w:val="clear" w:color="auto" w:fill="FFFFFF"/>
        </w:rPr>
        <w:t xml:space="preserve">Into the future the AEA </w:t>
      </w:r>
      <w:r w:rsidR="00F029F6">
        <w:rPr>
          <w:rStyle w:val="normaltextrun"/>
          <w:rFonts w:ascii="Calibri" w:hAnsi="Calibri" w:cs="Calibri"/>
          <w:color w:val="000000"/>
          <w:shd w:val="clear" w:color="auto" w:fill="FFFFFF"/>
        </w:rPr>
        <w:t xml:space="preserve">Advisory </w:t>
      </w:r>
      <w:r>
        <w:rPr>
          <w:rStyle w:val="normaltextrun"/>
          <w:rFonts w:ascii="Calibri" w:hAnsi="Calibri" w:cs="Calibri"/>
          <w:color w:val="000000"/>
          <w:shd w:val="clear" w:color="auto" w:fill="FFFFFF"/>
        </w:rPr>
        <w:t xml:space="preserve">Board will continue to work with the research sector and across industry to identify and align focus areas to benefit the </w:t>
      </w:r>
      <w:proofErr w:type="gramStart"/>
      <w:r>
        <w:rPr>
          <w:rStyle w:val="normaltextrun"/>
          <w:rFonts w:ascii="Calibri" w:hAnsi="Calibri" w:cs="Calibri"/>
          <w:color w:val="000000"/>
          <w:shd w:val="clear" w:color="auto" w:fill="FFFFFF"/>
        </w:rPr>
        <w:t>ultimate goal</w:t>
      </w:r>
      <w:proofErr w:type="gramEnd"/>
      <w:r>
        <w:rPr>
          <w:rStyle w:val="normaltextrun"/>
          <w:rFonts w:ascii="Calibri" w:hAnsi="Calibri" w:cs="Calibri"/>
          <w:color w:val="000000"/>
          <w:shd w:val="clear" w:color="auto" w:fill="FFFFFF"/>
        </w:rPr>
        <w:t xml:space="preserve"> of a stronger research commercialisation and translation capability at a national level. </w:t>
      </w:r>
    </w:p>
    <w:p w14:paraId="40242E2C" w14:textId="77777777" w:rsidR="007D47AF" w:rsidRDefault="007D47AF" w:rsidP="007D47AF">
      <w:r w:rsidRPr="00CF7E2A">
        <w:t xml:space="preserve">Yours sincerely </w:t>
      </w:r>
    </w:p>
    <w:p w14:paraId="1067A306" w14:textId="77777777" w:rsidR="00D16513" w:rsidRPr="00CF7E2A" w:rsidRDefault="00D16513" w:rsidP="007D47AF"/>
    <w:p w14:paraId="470C3336" w14:textId="6EBD20FB" w:rsidR="007D47AF" w:rsidRPr="00CF7E2A" w:rsidRDefault="007D47AF" w:rsidP="007D47AF">
      <w:r w:rsidRPr="00CF7E2A">
        <w:t xml:space="preserve">Mr Jeff Connolly </w:t>
      </w:r>
    </w:p>
    <w:p w14:paraId="3A1587AB" w14:textId="77777777" w:rsidR="007D47AF" w:rsidRDefault="007D47AF" w:rsidP="007D47AF">
      <w:r w:rsidRPr="00CF7E2A">
        <w:t>Chair of the AEA Advisory Board</w:t>
      </w:r>
      <w:r>
        <w:t xml:space="preserve"> </w:t>
      </w:r>
    </w:p>
    <w:p w14:paraId="3BCDB39A" w14:textId="2A8101A9" w:rsidR="00F116DD" w:rsidRDefault="00F116DD" w:rsidP="00677679">
      <w:r>
        <w:br w:type="page"/>
      </w:r>
    </w:p>
    <w:p w14:paraId="32298224" w14:textId="7E5F2F49" w:rsidR="007D47AF" w:rsidRDefault="00FE2CDE" w:rsidP="00F116DD">
      <w:pPr>
        <w:pStyle w:val="Heading2"/>
      </w:pPr>
      <w:bookmarkStart w:id="3" w:name="_Toc170917796"/>
      <w:r>
        <w:lastRenderedPageBreak/>
        <w:t>Introdu</w:t>
      </w:r>
      <w:r w:rsidR="00374262">
        <w:t>ction</w:t>
      </w:r>
      <w:bookmarkEnd w:id="3"/>
    </w:p>
    <w:p w14:paraId="499C388C" w14:textId="7AA20F3A" w:rsidR="00D27C5B" w:rsidRDefault="46DD14E7">
      <w:r>
        <w:t xml:space="preserve">Australia’s Economic Accelerator (AEA) is a new research funding program designed to shift the dial on Australian research by supporting the translation and commercialisation of our world leading research in the university sector. </w:t>
      </w:r>
      <w:r w:rsidR="147C8845">
        <w:t>The program is supporting a cultur</w:t>
      </w:r>
      <w:r>
        <w:t>e</w:t>
      </w:r>
      <w:r w:rsidR="147C8845">
        <w:t xml:space="preserve"> shift to improve collaboration between univ</w:t>
      </w:r>
      <w:r w:rsidR="62149DB2">
        <w:t xml:space="preserve">ersities and industry to commercialise </w:t>
      </w:r>
      <w:r w:rsidR="001F30DE">
        <w:t>university</w:t>
      </w:r>
      <w:r w:rsidR="448FC5E7">
        <w:t xml:space="preserve"> resea</w:t>
      </w:r>
      <w:r w:rsidR="2BC862B2">
        <w:t>rch</w:t>
      </w:r>
      <w:r w:rsidR="00E81171">
        <w:t xml:space="preserve"> </w:t>
      </w:r>
      <w:r w:rsidR="00A9140C">
        <w:t xml:space="preserve">in areas </w:t>
      </w:r>
      <w:r w:rsidR="001F30DE">
        <w:t>where Australia has strong</w:t>
      </w:r>
      <w:r w:rsidR="00F4475A">
        <w:t xml:space="preserve"> </w:t>
      </w:r>
      <w:r w:rsidR="00055061">
        <w:t xml:space="preserve">competitive advantage </w:t>
      </w:r>
      <w:r w:rsidR="001F30DE">
        <w:t>and that solve</w:t>
      </w:r>
      <w:r w:rsidR="00E462B1">
        <w:t>s</w:t>
      </w:r>
      <w:r w:rsidR="001F30DE">
        <w:t xml:space="preserve"> </w:t>
      </w:r>
      <w:r w:rsidR="00EB7259">
        <w:t>domestic and global market needs.</w:t>
      </w:r>
    </w:p>
    <w:p w14:paraId="46FCD942" w14:textId="3555B67A" w:rsidR="00D27C5B" w:rsidRDefault="46DD14E7" w:rsidP="6AD928B1">
      <w:r>
        <w:t xml:space="preserve">The AEA </w:t>
      </w:r>
      <w:r w:rsidR="038B110E">
        <w:t xml:space="preserve">is one of a suite of programs that </w:t>
      </w:r>
      <w:r>
        <w:t xml:space="preserve">will help create a research ecosystem where our </w:t>
      </w:r>
      <w:r>
        <w:br/>
        <w:t>world</w:t>
      </w:r>
      <w:r w:rsidR="00001C76">
        <w:t>-</w:t>
      </w:r>
      <w:r>
        <w:t>class research is translated into innovations</w:t>
      </w:r>
      <w:r w:rsidR="00840D6E">
        <w:t xml:space="preserve"> to serve real world market needs</w:t>
      </w:r>
      <w:r>
        <w:t xml:space="preserve"> and </w:t>
      </w:r>
      <w:r w:rsidR="00840D6E">
        <w:t xml:space="preserve">deliver </w:t>
      </w:r>
      <w:r>
        <w:t>productivity</w:t>
      </w:r>
      <w:r w:rsidR="00840D6E">
        <w:t xml:space="preserve"> and economic</w:t>
      </w:r>
      <w:r>
        <w:t xml:space="preserve"> gains.</w:t>
      </w:r>
      <w:r w:rsidR="0CEC1DB5">
        <w:t xml:space="preserve"> The </w:t>
      </w:r>
      <w:r w:rsidR="402E2D9C">
        <w:t xml:space="preserve">objectives of the </w:t>
      </w:r>
      <w:r w:rsidR="0CEC1DB5">
        <w:t>AEA</w:t>
      </w:r>
      <w:r w:rsidR="3399E85B">
        <w:t>,</w:t>
      </w:r>
      <w:r w:rsidR="6C70D912">
        <w:t xml:space="preserve"> </w:t>
      </w:r>
      <w:r w:rsidR="1152C46B">
        <w:t xml:space="preserve">the </w:t>
      </w:r>
      <w:r w:rsidR="1C88D6F7">
        <w:t>Tr</w:t>
      </w:r>
      <w:r w:rsidR="4B3CE62C">
        <w:t xml:space="preserve">ailblazer </w:t>
      </w:r>
      <w:r w:rsidR="7FE768C7">
        <w:t xml:space="preserve">Universities </w:t>
      </w:r>
      <w:r w:rsidR="00264676">
        <w:t>P</w:t>
      </w:r>
      <w:r w:rsidR="7FE768C7">
        <w:t xml:space="preserve">rogram </w:t>
      </w:r>
      <w:r w:rsidR="6C70D912">
        <w:t xml:space="preserve">and </w:t>
      </w:r>
      <w:r w:rsidR="7689AAF4">
        <w:t>the National</w:t>
      </w:r>
      <w:r w:rsidR="6C70D912">
        <w:t xml:space="preserve"> Industry PhD</w:t>
      </w:r>
      <w:r w:rsidR="006340DC">
        <w:t xml:space="preserve"> program</w:t>
      </w:r>
      <w:r w:rsidR="3EB75D23">
        <w:t xml:space="preserve"> align with</w:t>
      </w:r>
      <w:r w:rsidR="6C70D912">
        <w:t xml:space="preserve"> the </w:t>
      </w:r>
      <w:r w:rsidR="007B3AD0">
        <w:t>Australia</w:t>
      </w:r>
      <w:r w:rsidR="00F029F6">
        <w:t>n</w:t>
      </w:r>
      <w:r w:rsidR="007B3AD0">
        <w:t xml:space="preserve"> G</w:t>
      </w:r>
      <w:r w:rsidR="6C70D912">
        <w:t>overnment’</w:t>
      </w:r>
      <w:r w:rsidR="71FBE678">
        <w:t>s</w:t>
      </w:r>
      <w:r w:rsidR="42EDD358">
        <w:t xml:space="preserve"> </w:t>
      </w:r>
      <w:r w:rsidR="71FBE678">
        <w:t>Future Made in Australia</w:t>
      </w:r>
      <w:r w:rsidR="6FAE8C52">
        <w:t xml:space="preserve"> </w:t>
      </w:r>
      <w:r w:rsidR="007B3AD0">
        <w:t>agenda</w:t>
      </w:r>
      <w:r w:rsidR="6FAE8C52">
        <w:t>.</w:t>
      </w:r>
      <w:r w:rsidR="71FBE678">
        <w:t xml:space="preserve"> </w:t>
      </w:r>
    </w:p>
    <w:p w14:paraId="47CCC0E0" w14:textId="53C66201" w:rsidR="00575708" w:rsidRDefault="71CFCAE6" w:rsidP="00247134">
      <w:r>
        <w:t xml:space="preserve">As a </w:t>
      </w:r>
      <w:r w:rsidR="00247134">
        <w:t>priority-driven grant program</w:t>
      </w:r>
      <w:r w:rsidR="27F4FA35">
        <w:t>,</w:t>
      </w:r>
      <w:r w:rsidR="00247134">
        <w:t xml:space="preserve"> </w:t>
      </w:r>
      <w:r w:rsidR="6E7B06B3">
        <w:t xml:space="preserve">AEA will </w:t>
      </w:r>
      <w:r w:rsidR="00247134">
        <w:t>support projects aligned with national research priorities with high commercial opportunity.</w:t>
      </w:r>
      <w:r w:rsidR="00444D32">
        <w:t xml:space="preserve"> </w:t>
      </w:r>
      <w:r w:rsidR="00247134">
        <w:t>Funding is available to universities</w:t>
      </w:r>
      <w:r w:rsidR="643C1DF1">
        <w:t>,</w:t>
      </w:r>
      <w:r w:rsidR="00247134">
        <w:t xml:space="preserve"> and applicants will partner with industry.</w:t>
      </w:r>
      <w:r w:rsidR="00444D32">
        <w:t xml:space="preserve"> </w:t>
      </w:r>
    </w:p>
    <w:p w14:paraId="68AA8C5B" w14:textId="34463093" w:rsidR="00247134" w:rsidRPr="00247134" w:rsidRDefault="00247134" w:rsidP="00247134">
      <w:r>
        <w:t>The AEA is designed to attract projects at a proof-of-concept or proof-of-scale level of commercial readiness that have high commercial potential</w:t>
      </w:r>
      <w:r w:rsidR="005D0133">
        <w:t xml:space="preserve"> (Figure 1)</w:t>
      </w:r>
      <w:r>
        <w:t>.</w:t>
      </w:r>
      <w:r w:rsidR="00575708">
        <w:t xml:space="preserve"> </w:t>
      </w:r>
      <w:r>
        <w:t xml:space="preserve">Projects </w:t>
      </w:r>
      <w:r w:rsidR="009F4CAC">
        <w:t xml:space="preserve">can </w:t>
      </w:r>
      <w:r w:rsidR="1C36E2EE">
        <w:t xml:space="preserve">come into the program at any stage or </w:t>
      </w:r>
      <w:r>
        <w:t>progress through the program, based on continued success and achievement of milestones</w:t>
      </w:r>
      <w:r w:rsidR="00E87641">
        <w:t xml:space="preserve"> that </w:t>
      </w:r>
      <w:r w:rsidR="00452D7D">
        <w:t xml:space="preserve">validate </w:t>
      </w:r>
      <w:r w:rsidR="007E164D">
        <w:t>the commercial potential and path to commercial product</w:t>
      </w:r>
      <w:r>
        <w:t>. To incentivise ongoing excellence, the amount of AEA funding increases as projects mature towards at-scale commercialisation.</w:t>
      </w:r>
    </w:p>
    <w:p w14:paraId="46F3F37B" w14:textId="30DF5E87" w:rsidR="00566E9A" w:rsidRDefault="00566E9A" w:rsidP="00566E9A">
      <w:r>
        <w:t>The </w:t>
      </w:r>
      <w:hyperlink r:id="rId24">
        <w:r w:rsidRPr="79A5B284">
          <w:rPr>
            <w:rStyle w:val="Hyperlink"/>
          </w:rPr>
          <w:t>expanded Main Sequence Ventures fund</w:t>
        </w:r>
      </w:hyperlink>
      <w:r>
        <w:t xml:space="preserve"> provides a high-value opportunity for projects that successfully progress through the AEA. Alternatively, outcomes from the AEA can be picked up by businesses who can take them </w:t>
      </w:r>
      <w:r w:rsidR="009502D7">
        <w:t xml:space="preserve">further on the path to commercialisation </w:t>
      </w:r>
      <w:r>
        <w:t xml:space="preserve">or by other sources of </w:t>
      </w:r>
      <w:r w:rsidR="00E82396">
        <w:t xml:space="preserve">financing such as </w:t>
      </w:r>
      <w:r>
        <w:t>venture capital investment</w:t>
      </w:r>
      <w:r w:rsidR="000A3E69">
        <w:t xml:space="preserve">, </w:t>
      </w:r>
      <w:r>
        <w:t xml:space="preserve">including through other </w:t>
      </w:r>
      <w:r w:rsidR="00692220">
        <w:t>initiatives</w:t>
      </w:r>
      <w:r w:rsidR="00692220" w:rsidRPr="00EF4A2D">
        <w:t xml:space="preserve"> </w:t>
      </w:r>
      <w:r w:rsidRPr="00EF4A2D">
        <w:t xml:space="preserve">such as the Clean Energy Finance Corporation and the </w:t>
      </w:r>
      <w:r w:rsidRPr="000C6D6C">
        <w:t>National Reconstruction Fund</w:t>
      </w:r>
      <w:r w:rsidR="600907DF" w:rsidRPr="000C6D6C">
        <w:t xml:space="preserve"> (NRF</w:t>
      </w:r>
      <w:r w:rsidR="600907DF">
        <w:t>)</w:t>
      </w:r>
      <w:r>
        <w:t>.</w:t>
      </w:r>
    </w:p>
    <w:p w14:paraId="6CE833D3" w14:textId="2745EEF5" w:rsidR="00F5410B" w:rsidRDefault="00F5410B" w:rsidP="000A5931">
      <w:r w:rsidRPr="00F5410B">
        <w:rPr>
          <w:noProof/>
        </w:rPr>
        <w:drawing>
          <wp:anchor distT="0" distB="0" distL="114300" distR="114300" simplePos="0" relativeHeight="251658242" behindDoc="1" locked="0" layoutInCell="1" allowOverlap="1" wp14:anchorId="009DAE5B" wp14:editId="12699C13">
            <wp:simplePos x="0" y="0"/>
            <wp:positionH relativeFrom="column">
              <wp:posOffset>-523875</wp:posOffset>
            </wp:positionH>
            <wp:positionV relativeFrom="paragraph">
              <wp:posOffset>676275</wp:posOffset>
            </wp:positionV>
            <wp:extent cx="6734175" cy="1866900"/>
            <wp:effectExtent l="0" t="0" r="9525" b="0"/>
            <wp:wrapTight wrapText="bothSides">
              <wp:wrapPolygon edited="0">
                <wp:start x="0" y="0"/>
                <wp:lineTo x="0" y="21380"/>
                <wp:lineTo x="21569" y="21380"/>
                <wp:lineTo x="21569" y="0"/>
                <wp:lineTo x="0" y="0"/>
              </wp:wrapPolygon>
            </wp:wrapTight>
            <wp:docPr id="1936331692"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31692" name="Picture 1" descr="A close-up of a 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734175" cy="1866900"/>
                    </a:xfrm>
                    <a:prstGeom prst="rect">
                      <a:avLst/>
                    </a:prstGeom>
                  </pic:spPr>
                </pic:pic>
              </a:graphicData>
            </a:graphic>
            <wp14:sizeRelH relativeFrom="margin">
              <wp14:pctWidth>0</wp14:pctWidth>
            </wp14:sizeRelH>
            <wp14:sizeRelV relativeFrom="margin">
              <wp14:pctHeight>0</wp14:pctHeight>
            </wp14:sizeRelV>
          </wp:anchor>
        </w:drawing>
      </w:r>
      <w:r w:rsidR="5FA48303" w:rsidRPr="00566E9A">
        <w:t xml:space="preserve">Industry participation is critical to the success of the program. Examples of industry involvement include embedded industry experts, in-kind support, formal </w:t>
      </w:r>
      <w:r w:rsidR="7557B240">
        <w:t xml:space="preserve">collaborations or </w:t>
      </w:r>
      <w:r w:rsidR="4B244ECA" w:rsidRPr="00566E9A">
        <w:t>partnerships,</w:t>
      </w:r>
      <w:r w:rsidR="5FA48303" w:rsidRPr="00566E9A">
        <w:t xml:space="preserve"> and investment.</w:t>
      </w:r>
    </w:p>
    <w:p w14:paraId="77AAE265" w14:textId="03C25178" w:rsidR="002C4A2C" w:rsidRPr="00566E9A" w:rsidRDefault="00760F24" w:rsidP="008A3C0D">
      <w:pPr>
        <w:pStyle w:val="Caption"/>
        <w:spacing w:after="240"/>
        <w:rPr>
          <w:b w:val="0"/>
          <w:bCs/>
        </w:rPr>
      </w:pPr>
      <w:r w:rsidRPr="008A3C0D">
        <w:t xml:space="preserve">Figure </w:t>
      </w:r>
      <w:r w:rsidR="00CB069E">
        <w:fldChar w:fldCharType="begin"/>
      </w:r>
      <w:r w:rsidR="00CB069E">
        <w:instrText xml:space="preserve"> SEQ Figure \* ARABIC </w:instrText>
      </w:r>
      <w:r w:rsidR="00CB069E">
        <w:fldChar w:fldCharType="separate"/>
      </w:r>
      <w:r w:rsidR="009F2A4F">
        <w:rPr>
          <w:noProof/>
        </w:rPr>
        <w:t>1</w:t>
      </w:r>
      <w:r w:rsidR="00CB069E">
        <w:rPr>
          <w:noProof/>
        </w:rPr>
        <w:fldChar w:fldCharType="end"/>
      </w:r>
      <w:r w:rsidRPr="008A3C0D">
        <w:rPr>
          <w:b w:val="0"/>
          <w:bCs/>
        </w:rPr>
        <w:t xml:space="preserve">. </w:t>
      </w:r>
      <w:r w:rsidR="005D0133" w:rsidRPr="008A3C0D">
        <w:rPr>
          <w:b w:val="0"/>
          <w:bCs/>
        </w:rPr>
        <w:t xml:space="preserve">The </w:t>
      </w:r>
      <w:r w:rsidR="007B3AD0">
        <w:rPr>
          <w:b w:val="0"/>
          <w:bCs/>
        </w:rPr>
        <w:t>AEA</w:t>
      </w:r>
      <w:r w:rsidR="005D0133" w:rsidRPr="008A3C0D">
        <w:rPr>
          <w:b w:val="0"/>
          <w:bCs/>
        </w:rPr>
        <w:t xml:space="preserve"> is designed to </w:t>
      </w:r>
      <w:r w:rsidR="008A3C0D" w:rsidRPr="008A3C0D">
        <w:rPr>
          <w:b w:val="0"/>
          <w:bCs/>
        </w:rPr>
        <w:t>bridge the gap between basic research and commercialisation.</w:t>
      </w:r>
    </w:p>
    <w:p w14:paraId="2DB80CA7" w14:textId="2070326C" w:rsidR="008D4BB2" w:rsidRPr="008D4BB2" w:rsidRDefault="008D4BB2" w:rsidP="008D4BB2">
      <w:r>
        <w:lastRenderedPageBreak/>
        <w:t xml:space="preserve">The AEA </w:t>
      </w:r>
      <w:r w:rsidR="00CD1C5C">
        <w:t>is</w:t>
      </w:r>
      <w:r>
        <w:t xml:space="preserve"> governed by an expert </w:t>
      </w:r>
      <w:r w:rsidR="00584449">
        <w:t>A</w:t>
      </w:r>
      <w:r w:rsidR="003125EA">
        <w:t>dvisory</w:t>
      </w:r>
      <w:r>
        <w:t xml:space="preserve"> </w:t>
      </w:r>
      <w:r w:rsidR="00584449">
        <w:t>B</w:t>
      </w:r>
      <w:r>
        <w:t>oard</w:t>
      </w:r>
      <w:r w:rsidR="00856EE5">
        <w:t xml:space="preserve"> (the Board)</w:t>
      </w:r>
      <w:r>
        <w:t xml:space="preserve">, supported by expert Priority Managers. The Board </w:t>
      </w:r>
      <w:r w:rsidR="00CD1C5C">
        <w:t>members</w:t>
      </w:r>
      <w:r>
        <w:t xml:space="preserve"> </w:t>
      </w:r>
      <w:r w:rsidR="7D647A89">
        <w:t>have</w:t>
      </w:r>
      <w:r>
        <w:t xml:space="preserve"> experience and knowledge in research and its </w:t>
      </w:r>
      <w:r w:rsidR="004063A4">
        <w:t>translation and commercialisation</w:t>
      </w:r>
      <w:r>
        <w:t>, and represent government, industry and research sectors.</w:t>
      </w:r>
      <w:r w:rsidR="00B76B6F">
        <w:t xml:space="preserve"> </w:t>
      </w:r>
      <w:r w:rsidR="7B31BDB8">
        <w:t>The</w:t>
      </w:r>
      <w:r>
        <w:t xml:space="preserve"> Priority Managers are highly qualified, experienced, and motivated business and technology specialists. </w:t>
      </w:r>
      <w:r w:rsidR="1A7B12B9">
        <w:t>The</w:t>
      </w:r>
      <w:r>
        <w:t xml:space="preserve"> Priority Managers will work with successful applicants to help foster connections and secure formal collaboration arrangements with industry partners.</w:t>
      </w:r>
    </w:p>
    <w:p w14:paraId="2C3CB1AB" w14:textId="7A4397C3" w:rsidR="004063A4" w:rsidRPr="00FB2572" w:rsidRDefault="00B76B6F" w:rsidP="005E35BB">
      <w:r>
        <w:t xml:space="preserve">Distinct from other funding models in research, the AEA Program will support the translation and commercialisation of the outcomes of university research in collaboration and partnership with industry. It will fill a gap in the current research commercialisation landscape by funding the university sector to engage in translational research from early-stage research into products that are attractive for industry collaboration and investment and will have impact in major markets and grow Australia’s economy. </w:t>
      </w:r>
    </w:p>
    <w:p w14:paraId="65901F2B" w14:textId="7D70FBF1" w:rsidR="5565478F" w:rsidRDefault="4270C8D8" w:rsidP="00CF7E2A">
      <w:pPr>
        <w:pStyle w:val="Heading2"/>
      </w:pPr>
      <w:bookmarkStart w:id="4" w:name="_Toc170917797"/>
      <w:r>
        <w:t>Purpose of the Investment Plan</w:t>
      </w:r>
      <w:bookmarkEnd w:id="4"/>
    </w:p>
    <w:p w14:paraId="00AA407F" w14:textId="544BCDAE" w:rsidR="00F02869" w:rsidRDefault="00856EE5" w:rsidP="01B16F57">
      <w:pPr>
        <w:pStyle w:val="Colourtabletext"/>
      </w:pPr>
      <w:r w:rsidRPr="00CF7E2A">
        <w:rPr>
          <w:rStyle w:val="Heading5Char"/>
        </w:rPr>
        <w:t xml:space="preserve">AEA </w:t>
      </w:r>
      <w:r w:rsidR="00D07295">
        <w:rPr>
          <w:rStyle w:val="Heading5Char"/>
        </w:rPr>
        <w:t>d</w:t>
      </w:r>
      <w:r w:rsidRPr="00CF7E2A">
        <w:rPr>
          <w:rStyle w:val="Heading5Char"/>
        </w:rPr>
        <w:t>elivery</w:t>
      </w:r>
      <w:r>
        <w:t xml:space="preserve"> </w:t>
      </w:r>
    </w:p>
    <w:p w14:paraId="5C08C950" w14:textId="099D7BE6" w:rsidR="00FC6D4B" w:rsidRDefault="00FC6D4B" w:rsidP="00FC6D4B">
      <w:pPr>
        <w:shd w:val="clear" w:color="auto" w:fill="FFFFFF" w:themeFill="background1"/>
        <w:rPr>
          <w:rFonts w:ascii="Calibri" w:eastAsia="Calibri" w:hAnsi="Calibri" w:cs="Calibri"/>
        </w:rPr>
      </w:pPr>
      <w:r w:rsidRPr="00720D44">
        <w:rPr>
          <w:rFonts w:ascii="Calibri" w:eastAsia="Calibri" w:hAnsi="Calibri" w:cs="Calibri"/>
        </w:rPr>
        <w:t xml:space="preserve">The AEA </w:t>
      </w:r>
      <w:r w:rsidR="00F02869">
        <w:rPr>
          <w:rFonts w:ascii="Calibri" w:eastAsia="Calibri" w:hAnsi="Calibri" w:cs="Calibri"/>
        </w:rPr>
        <w:t>p</w:t>
      </w:r>
      <w:r w:rsidRPr="00720D44">
        <w:rPr>
          <w:rFonts w:ascii="Calibri" w:eastAsia="Calibri" w:hAnsi="Calibri" w:cs="Calibri"/>
        </w:rPr>
        <w:t xml:space="preserve">rogram will be administered by the Department of Education with the assistance of the Board whose members are appointed by the Minister. </w:t>
      </w:r>
      <w:r w:rsidRPr="31D4D56E">
        <w:rPr>
          <w:rFonts w:ascii="Calibri" w:eastAsia="Calibri" w:hAnsi="Calibri" w:cs="Calibri"/>
        </w:rPr>
        <w:t>The</w:t>
      </w:r>
      <w:r w:rsidRPr="00720D44">
        <w:rPr>
          <w:rFonts w:ascii="Calibri" w:eastAsia="Calibri" w:hAnsi="Calibri" w:cs="Calibri"/>
        </w:rPr>
        <w:t xml:space="preserve"> </w:t>
      </w:r>
      <w:r w:rsidRPr="7750874D">
        <w:rPr>
          <w:rFonts w:ascii="Calibri" w:eastAsia="Calibri" w:hAnsi="Calibri" w:cs="Calibri"/>
        </w:rPr>
        <w:t>Board’s</w:t>
      </w:r>
      <w:r w:rsidRPr="00720D44">
        <w:rPr>
          <w:rFonts w:ascii="Calibri" w:eastAsia="Calibri" w:hAnsi="Calibri" w:cs="Calibri"/>
        </w:rPr>
        <w:t xml:space="preserve"> functions </w:t>
      </w:r>
      <w:r w:rsidRPr="3EC7F7E4">
        <w:rPr>
          <w:rFonts w:ascii="Calibri" w:eastAsia="Calibri" w:hAnsi="Calibri" w:cs="Calibri"/>
        </w:rPr>
        <w:t xml:space="preserve">are </w:t>
      </w:r>
      <w:r w:rsidRPr="3BB82AA0">
        <w:rPr>
          <w:rFonts w:ascii="Calibri" w:eastAsia="Calibri" w:hAnsi="Calibri" w:cs="Calibri"/>
        </w:rPr>
        <w:t>stipulated under</w:t>
      </w:r>
      <w:r w:rsidRPr="00720D44">
        <w:rPr>
          <w:rFonts w:ascii="Calibri" w:eastAsia="Calibri" w:hAnsi="Calibri" w:cs="Calibri"/>
        </w:rPr>
        <w:t xml:space="preserve"> Section 42</w:t>
      </w:r>
      <w:r w:rsidR="00856EE5">
        <w:rPr>
          <w:rFonts w:ascii="Calibri" w:eastAsia="Calibri" w:hAnsi="Calibri" w:cs="Calibri"/>
        </w:rPr>
        <w:t>-</w:t>
      </w:r>
      <w:r w:rsidRPr="00720D44">
        <w:rPr>
          <w:rFonts w:ascii="Calibri" w:eastAsia="Calibri" w:hAnsi="Calibri" w:cs="Calibri"/>
        </w:rPr>
        <w:t xml:space="preserve">15 of </w:t>
      </w:r>
      <w:r w:rsidR="00B05016" w:rsidRPr="00D56716">
        <w:rPr>
          <w:rFonts w:ascii="Calibri" w:eastAsia="Calibri" w:hAnsi="Calibri" w:cs="Calibri"/>
        </w:rPr>
        <w:t>HESA</w:t>
      </w:r>
      <w:r w:rsidRPr="00720D44">
        <w:rPr>
          <w:rFonts w:ascii="Calibri" w:eastAsia="Calibri" w:hAnsi="Calibri" w:cs="Calibri"/>
          <w:i/>
          <w:iCs/>
        </w:rPr>
        <w:t>.</w:t>
      </w:r>
    </w:p>
    <w:p w14:paraId="143EAAE8" w14:textId="7960B824" w:rsidR="001A4E10" w:rsidRDefault="001A4E10" w:rsidP="001A4E10">
      <w:pPr>
        <w:pStyle w:val="Heading3"/>
        <w:rPr>
          <w:rFonts w:eastAsia="Calibri"/>
        </w:rPr>
      </w:pPr>
      <w:bookmarkStart w:id="5" w:name="_Toc170917798"/>
      <w:r>
        <w:rPr>
          <w:rFonts w:eastAsia="Calibri"/>
        </w:rPr>
        <w:t>Stages</w:t>
      </w:r>
      <w:bookmarkEnd w:id="5"/>
    </w:p>
    <w:p w14:paraId="19B67158" w14:textId="79A6D5AE" w:rsidR="00783454" w:rsidRDefault="00783454" w:rsidP="00FC6D4B">
      <w:pPr>
        <w:shd w:val="clear" w:color="auto" w:fill="FFFFFF" w:themeFill="background1"/>
        <w:rPr>
          <w:rFonts w:ascii="Calibri" w:eastAsia="Calibri" w:hAnsi="Calibri" w:cs="Calibri"/>
        </w:rPr>
      </w:pPr>
      <w:r w:rsidRPr="38C7F1C6">
        <w:rPr>
          <w:rFonts w:ascii="Calibri" w:eastAsia="Calibri" w:hAnsi="Calibri" w:cs="Calibri"/>
        </w:rPr>
        <w:t xml:space="preserve">AEA grants will be delivered through the </w:t>
      </w:r>
      <w:r w:rsidR="38F619A7" w:rsidRPr="38C7F1C6">
        <w:rPr>
          <w:rFonts w:ascii="Calibri" w:eastAsia="Calibri" w:hAnsi="Calibri" w:cs="Calibri"/>
        </w:rPr>
        <w:t>2</w:t>
      </w:r>
      <w:r w:rsidRPr="38C7F1C6">
        <w:rPr>
          <w:rFonts w:ascii="Calibri" w:eastAsia="Calibri" w:hAnsi="Calibri" w:cs="Calibri"/>
        </w:rPr>
        <w:t xml:space="preserve"> streams </w:t>
      </w:r>
      <w:r w:rsidR="00D07295">
        <w:rPr>
          <w:rFonts w:ascii="Calibri" w:eastAsia="Calibri" w:hAnsi="Calibri" w:cs="Calibri"/>
        </w:rPr>
        <w:t>(</w:t>
      </w:r>
      <w:r w:rsidRPr="38C7F1C6">
        <w:rPr>
          <w:rFonts w:ascii="Calibri" w:eastAsia="Calibri" w:hAnsi="Calibri" w:cs="Calibri"/>
        </w:rPr>
        <w:t>Figure 2</w:t>
      </w:r>
      <w:r w:rsidR="00D07295">
        <w:rPr>
          <w:rFonts w:ascii="Calibri" w:eastAsia="Calibri" w:hAnsi="Calibri" w:cs="Calibri"/>
        </w:rPr>
        <w:t>)</w:t>
      </w:r>
      <w:r w:rsidRPr="38C7F1C6">
        <w:rPr>
          <w:rFonts w:ascii="Calibri" w:eastAsia="Calibri" w:hAnsi="Calibri" w:cs="Calibri"/>
        </w:rPr>
        <w:t>.</w:t>
      </w:r>
      <w:r w:rsidR="001966C5" w:rsidRPr="38C7F1C6">
        <w:rPr>
          <w:rFonts w:ascii="Calibri" w:eastAsia="Calibri" w:hAnsi="Calibri" w:cs="Calibri"/>
        </w:rPr>
        <w:t xml:space="preserve"> These distinct streams are targeted at different stages </w:t>
      </w:r>
      <w:r w:rsidR="005F2ED2" w:rsidRPr="38C7F1C6">
        <w:rPr>
          <w:rFonts w:ascii="Calibri" w:eastAsia="Calibri" w:hAnsi="Calibri" w:cs="Calibri"/>
        </w:rPr>
        <w:t xml:space="preserve">of technology readiness (TRL). </w:t>
      </w:r>
    </w:p>
    <w:p w14:paraId="44381AEA" w14:textId="58ADC078" w:rsidR="002855A3" w:rsidRPr="00460A2D" w:rsidRDefault="002855A3" w:rsidP="002855A3">
      <w:pPr>
        <w:shd w:val="clear" w:color="auto" w:fill="FFFFFF" w:themeFill="background1"/>
        <w:spacing w:after="120"/>
        <w:rPr>
          <w:rFonts w:ascii="Calibri" w:eastAsia="Calibri" w:hAnsi="Calibri" w:cs="Calibri"/>
        </w:rPr>
      </w:pPr>
    </w:p>
    <w:p w14:paraId="09C73A9E" w14:textId="661391FE" w:rsidR="00D07295" w:rsidRPr="00CF7E2A" w:rsidRDefault="0E8A98F4" w:rsidP="00D07295">
      <w:r>
        <w:rPr>
          <w:noProof/>
        </w:rPr>
        <w:drawing>
          <wp:inline distT="0" distB="0" distL="0" distR="0" wp14:anchorId="308AC426" wp14:editId="02B9555D">
            <wp:extent cx="4763068" cy="2651880"/>
            <wp:effectExtent l="0" t="0" r="0" b="0"/>
            <wp:docPr id="693227467" name="Picture 1" descr="Ignite and Innovate TRL stag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27467" name="Picture 1" descr="Ignite and Innovate TRL stage diagram"/>
                    <pic:cNvPicPr/>
                  </pic:nvPicPr>
                  <pic:blipFill>
                    <a:blip r:embed="rId26">
                      <a:extLst>
                        <a:ext uri="{28A0092B-C50C-407E-A947-70E740481C1C}">
                          <a14:useLocalDpi xmlns:a14="http://schemas.microsoft.com/office/drawing/2010/main" val="0"/>
                        </a:ext>
                      </a:extLst>
                    </a:blip>
                    <a:srcRect l="11432" t="16724" r="11122" b="6619"/>
                    <a:stretch>
                      <a:fillRect/>
                    </a:stretch>
                  </pic:blipFill>
                  <pic:spPr bwMode="auto">
                    <a:xfrm>
                      <a:off x="0" y="0"/>
                      <a:ext cx="4763068" cy="2651880"/>
                    </a:xfrm>
                    <a:prstGeom prst="rect">
                      <a:avLst/>
                    </a:prstGeom>
                    <a:ln>
                      <a:noFill/>
                    </a:ln>
                    <a:extLst>
                      <a:ext uri="{53640926-AAD7-44D8-BBD7-CCE9431645EC}">
                        <a14:shadowObscured xmlns:a14="http://schemas.microsoft.com/office/drawing/2010/main"/>
                      </a:ext>
                    </a:extLst>
                  </pic:spPr>
                </pic:pic>
              </a:graphicData>
            </a:graphic>
          </wp:inline>
        </w:drawing>
      </w:r>
    </w:p>
    <w:p w14:paraId="784ACECF" w14:textId="17D4BBD5" w:rsidR="00766078" w:rsidRPr="00802D4E" w:rsidRDefault="00783454" w:rsidP="00802D4E">
      <w:pPr>
        <w:pStyle w:val="Caption"/>
        <w:spacing w:after="240"/>
      </w:pPr>
      <w:r>
        <w:t xml:space="preserve">Figure </w:t>
      </w:r>
      <w:r w:rsidRPr="03C974F0">
        <w:fldChar w:fldCharType="begin"/>
      </w:r>
      <w:r>
        <w:instrText xml:space="preserve"> SEQ Figure \* ARABIC </w:instrText>
      </w:r>
      <w:r w:rsidRPr="03C974F0">
        <w:fldChar w:fldCharType="separate"/>
      </w:r>
      <w:r w:rsidR="009F2A4F" w:rsidRPr="03C974F0">
        <w:rPr>
          <w:noProof/>
        </w:rPr>
        <w:t>2</w:t>
      </w:r>
      <w:r w:rsidRPr="03C974F0">
        <w:rPr>
          <w:noProof/>
        </w:rPr>
        <w:fldChar w:fldCharType="end"/>
      </w:r>
      <w:r>
        <w:t>.</w:t>
      </w:r>
      <w:r w:rsidR="0065376E">
        <w:t xml:space="preserve"> </w:t>
      </w:r>
      <w:r w:rsidR="0065376E">
        <w:rPr>
          <w:b w:val="0"/>
        </w:rPr>
        <w:t>AEA grants are provided through</w:t>
      </w:r>
      <w:r w:rsidR="00D07295">
        <w:rPr>
          <w:b w:val="0"/>
        </w:rPr>
        <w:t xml:space="preserve"> 2</w:t>
      </w:r>
      <w:r w:rsidR="0065376E">
        <w:rPr>
          <w:b w:val="0"/>
        </w:rPr>
        <w:t xml:space="preserve"> funding streams targeted at different stages of the tech</w:t>
      </w:r>
      <w:r w:rsidR="00856EE5">
        <w:rPr>
          <w:b w:val="0"/>
        </w:rPr>
        <w:t>nology</w:t>
      </w:r>
      <w:r w:rsidR="0065376E">
        <w:rPr>
          <w:b w:val="0"/>
        </w:rPr>
        <w:t xml:space="preserve"> value chain.</w:t>
      </w:r>
    </w:p>
    <w:p w14:paraId="5C895FBE" w14:textId="72261AD0" w:rsidR="00784701" w:rsidRDefault="004968DD" w:rsidP="00B83688">
      <w:pPr>
        <w:pStyle w:val="Heading3"/>
        <w:rPr>
          <w:rFonts w:ascii="Calibri" w:hAnsi="Calibri" w:cs="Calibri"/>
        </w:rPr>
      </w:pPr>
      <w:bookmarkStart w:id="6" w:name="_Toc170917799"/>
      <w:r>
        <w:lastRenderedPageBreak/>
        <w:t>Funding available</w:t>
      </w:r>
      <w:bookmarkEnd w:id="6"/>
    </w:p>
    <w:p w14:paraId="4992A903" w14:textId="6E780595" w:rsidR="00CB4564" w:rsidRDefault="002D03C7" w:rsidP="002D03C7">
      <w:pPr>
        <w:spacing w:before="120" w:after="0"/>
        <w:rPr>
          <w:rFonts w:ascii="Calibri" w:eastAsia="Calibri" w:hAnsi="Calibri" w:cs="Calibri"/>
        </w:rPr>
      </w:pPr>
      <w:r w:rsidRPr="03C974F0">
        <w:rPr>
          <w:rFonts w:ascii="Calibri" w:eastAsia="Calibri" w:hAnsi="Calibri" w:cs="Calibri"/>
        </w:rPr>
        <w:t>To address anticipated strong initial demand for AEA grants</w:t>
      </w:r>
      <w:r w:rsidR="00550DA7" w:rsidRPr="03C974F0">
        <w:rPr>
          <w:rFonts w:ascii="Calibri" w:eastAsia="Calibri" w:hAnsi="Calibri" w:cs="Calibri"/>
        </w:rPr>
        <w:t>,</w:t>
      </w:r>
      <w:r w:rsidRPr="03C974F0">
        <w:rPr>
          <w:rFonts w:ascii="Calibri" w:eastAsia="Calibri" w:hAnsi="Calibri" w:cs="Calibri"/>
        </w:rPr>
        <w:t xml:space="preserve"> </w:t>
      </w:r>
      <w:proofErr w:type="gramStart"/>
      <w:r w:rsidRPr="03C974F0">
        <w:rPr>
          <w:rFonts w:ascii="Calibri" w:eastAsia="Calibri" w:hAnsi="Calibri" w:cs="Calibri"/>
        </w:rPr>
        <w:t>Round</w:t>
      </w:r>
      <w:proofErr w:type="gramEnd"/>
      <w:r w:rsidR="00550DA7" w:rsidRPr="03C974F0">
        <w:rPr>
          <w:rFonts w:ascii="Calibri" w:eastAsia="Calibri" w:hAnsi="Calibri" w:cs="Calibri"/>
        </w:rPr>
        <w:t xml:space="preserve"> 1</w:t>
      </w:r>
      <w:r w:rsidRPr="03C974F0">
        <w:rPr>
          <w:rFonts w:ascii="Calibri" w:eastAsia="Calibri" w:hAnsi="Calibri" w:cs="Calibri"/>
        </w:rPr>
        <w:t xml:space="preserve"> of Ignite grants will have an allocation of $60 million and Round 1 of Innovate grants will have an allocation of $120 million. These will be followed by Round 2 of Ignite with an allocation of $30 million and Round 2 of Innovate with an allocation of $</w:t>
      </w:r>
      <w:r w:rsidR="00550DA7" w:rsidRPr="03C974F0">
        <w:rPr>
          <w:rFonts w:ascii="Calibri" w:eastAsia="Calibri" w:hAnsi="Calibri" w:cs="Calibri"/>
        </w:rPr>
        <w:t>6</w:t>
      </w:r>
      <w:r w:rsidRPr="03C974F0">
        <w:rPr>
          <w:rFonts w:ascii="Calibri" w:eastAsia="Calibri" w:hAnsi="Calibri" w:cs="Calibri"/>
        </w:rPr>
        <w:t xml:space="preserve">0 million. The expected ongoing cadence of the program will </w:t>
      </w:r>
      <w:r w:rsidR="00A369D4" w:rsidRPr="03C974F0">
        <w:rPr>
          <w:rFonts w:ascii="Calibri" w:eastAsia="Calibri" w:hAnsi="Calibri" w:cs="Calibri"/>
        </w:rPr>
        <w:t xml:space="preserve">then </w:t>
      </w:r>
      <w:r w:rsidRPr="03C974F0">
        <w:rPr>
          <w:rFonts w:ascii="Calibri" w:eastAsia="Calibri" w:hAnsi="Calibri" w:cs="Calibri"/>
        </w:rPr>
        <w:t xml:space="preserve">be </w:t>
      </w:r>
      <w:r w:rsidR="007E7BDC">
        <w:rPr>
          <w:rFonts w:ascii="Calibri" w:eastAsia="Calibri" w:hAnsi="Calibri" w:cs="Calibri"/>
        </w:rPr>
        <w:t>2</w:t>
      </w:r>
      <w:r w:rsidR="005C015D">
        <w:rPr>
          <w:rFonts w:ascii="Calibri" w:eastAsia="Calibri" w:hAnsi="Calibri" w:cs="Calibri"/>
        </w:rPr>
        <w:t> </w:t>
      </w:r>
      <w:r w:rsidRPr="03C974F0">
        <w:rPr>
          <w:rFonts w:ascii="Calibri" w:eastAsia="Calibri" w:hAnsi="Calibri" w:cs="Calibri"/>
        </w:rPr>
        <w:t>rounds each per year for Ignite and Innovate</w:t>
      </w:r>
      <w:r w:rsidR="00856EE5" w:rsidRPr="03C974F0">
        <w:rPr>
          <w:rFonts w:ascii="Calibri" w:eastAsia="Calibri" w:hAnsi="Calibri" w:cs="Calibri"/>
        </w:rPr>
        <w:t>.</w:t>
      </w:r>
    </w:p>
    <w:p w14:paraId="1E305A8F" w14:textId="0924DD3F" w:rsidR="00A369D4" w:rsidRDefault="00CB4564" w:rsidP="002D03C7">
      <w:pPr>
        <w:spacing w:before="120" w:after="0"/>
        <w:rPr>
          <w:rFonts w:ascii="Calibri" w:eastAsia="Calibri" w:hAnsi="Calibri" w:cs="Calibri"/>
        </w:rPr>
      </w:pPr>
      <w:r w:rsidRPr="03C974F0">
        <w:rPr>
          <w:rFonts w:ascii="Calibri" w:eastAsia="Calibri" w:hAnsi="Calibri" w:cs="Calibri"/>
        </w:rPr>
        <w:t xml:space="preserve">For each round, the total funding </w:t>
      </w:r>
      <w:r w:rsidR="0071322B" w:rsidRPr="03C974F0">
        <w:rPr>
          <w:rFonts w:ascii="Calibri" w:eastAsia="Calibri" w:hAnsi="Calibri" w:cs="Calibri"/>
        </w:rPr>
        <w:t xml:space="preserve">to be </w:t>
      </w:r>
      <w:r w:rsidRPr="03C974F0">
        <w:rPr>
          <w:rFonts w:ascii="Calibri" w:eastAsia="Calibri" w:hAnsi="Calibri" w:cs="Calibri"/>
        </w:rPr>
        <w:t xml:space="preserve">awarded through grants as well as the relative funding against different priority areas will be driven by the quality of applications received. </w:t>
      </w:r>
      <w:r w:rsidR="0071322B" w:rsidRPr="03C974F0">
        <w:rPr>
          <w:rFonts w:ascii="Calibri" w:eastAsia="Calibri" w:hAnsi="Calibri" w:cs="Calibri"/>
        </w:rPr>
        <w:t>T</w:t>
      </w:r>
      <w:r w:rsidR="00EA644E" w:rsidRPr="03C974F0">
        <w:rPr>
          <w:rFonts w:ascii="Calibri" w:eastAsia="Calibri" w:hAnsi="Calibri" w:cs="Calibri"/>
        </w:rPr>
        <w:t>he</w:t>
      </w:r>
      <w:r w:rsidR="0071322B" w:rsidRPr="03C974F0">
        <w:rPr>
          <w:rFonts w:ascii="Calibri" w:eastAsia="Calibri" w:hAnsi="Calibri" w:cs="Calibri"/>
        </w:rPr>
        <w:t xml:space="preserve"> above allocations will only be exhausted</w:t>
      </w:r>
      <w:r w:rsidR="00EF4561" w:rsidRPr="03C974F0">
        <w:rPr>
          <w:rFonts w:ascii="Calibri" w:eastAsia="Calibri" w:hAnsi="Calibri" w:cs="Calibri"/>
        </w:rPr>
        <w:t xml:space="preserve"> where enough applications of sufficient quality</w:t>
      </w:r>
      <w:r w:rsidR="0071322B" w:rsidRPr="03C974F0">
        <w:rPr>
          <w:rFonts w:ascii="Calibri" w:eastAsia="Calibri" w:hAnsi="Calibri" w:cs="Calibri"/>
        </w:rPr>
        <w:t xml:space="preserve">, as deemed by </w:t>
      </w:r>
      <w:r w:rsidRPr="03C974F0">
        <w:rPr>
          <w:rFonts w:ascii="Calibri" w:eastAsia="Calibri" w:hAnsi="Calibri" w:cs="Calibri"/>
        </w:rPr>
        <w:t xml:space="preserve">expert assessors </w:t>
      </w:r>
      <w:r w:rsidR="0071322B" w:rsidRPr="03C974F0">
        <w:rPr>
          <w:rFonts w:ascii="Calibri" w:eastAsia="Calibri" w:hAnsi="Calibri" w:cs="Calibri"/>
        </w:rPr>
        <w:t xml:space="preserve">and the </w:t>
      </w:r>
      <w:r w:rsidRPr="03C974F0">
        <w:rPr>
          <w:rFonts w:ascii="Calibri" w:eastAsia="Calibri" w:hAnsi="Calibri" w:cs="Calibri"/>
        </w:rPr>
        <w:t xml:space="preserve">AEA </w:t>
      </w:r>
      <w:r w:rsidR="0071322B" w:rsidRPr="03C974F0">
        <w:rPr>
          <w:rFonts w:ascii="Calibri" w:eastAsia="Calibri" w:hAnsi="Calibri" w:cs="Calibri"/>
        </w:rPr>
        <w:t>Board,</w:t>
      </w:r>
      <w:r w:rsidR="00EF4561" w:rsidRPr="03C974F0">
        <w:rPr>
          <w:rFonts w:ascii="Calibri" w:eastAsia="Calibri" w:hAnsi="Calibri" w:cs="Calibri"/>
        </w:rPr>
        <w:t xml:space="preserve"> are received. </w:t>
      </w:r>
    </w:p>
    <w:p w14:paraId="3BB9580E" w14:textId="1DAFB7EE" w:rsidR="00922675" w:rsidRDefault="00A369D4" w:rsidP="002D03C7">
      <w:pPr>
        <w:spacing w:before="120" w:after="0"/>
        <w:rPr>
          <w:rFonts w:ascii="Calibri" w:eastAsia="Calibri" w:hAnsi="Calibri" w:cs="Calibri"/>
        </w:rPr>
      </w:pPr>
      <w:r>
        <w:rPr>
          <w:rFonts w:ascii="Calibri" w:eastAsia="Calibri" w:hAnsi="Calibri" w:cs="Calibri"/>
        </w:rPr>
        <w:t>The Board will review AEA funding available in the context of its next annual investment plan.</w:t>
      </w:r>
    </w:p>
    <w:p w14:paraId="1F0B7A24" w14:textId="3D5AC000" w:rsidR="002A137C" w:rsidRDefault="002A137C" w:rsidP="002A137C">
      <w:pPr>
        <w:pStyle w:val="Heading3"/>
      </w:pPr>
      <w:bookmarkStart w:id="7" w:name="_Toc170917800"/>
      <w:r>
        <w:t>Participation</w:t>
      </w:r>
      <w:bookmarkEnd w:id="7"/>
      <w:r>
        <w:t xml:space="preserve"> </w:t>
      </w:r>
    </w:p>
    <w:p w14:paraId="4787EC67" w14:textId="1C5B5A86" w:rsidR="00F37E69" w:rsidRDefault="00A6768A" w:rsidP="002A137C">
      <w:r w:rsidRPr="00A6768A">
        <w:t xml:space="preserve">As part of the AEA program’s commitment to helping uplift research translation and commercialisation activity on a national scale, </w:t>
      </w:r>
      <w:r w:rsidR="004301F3">
        <w:t xml:space="preserve">AEA grant </w:t>
      </w:r>
      <w:r w:rsidRPr="00A6768A">
        <w:t>applicants</w:t>
      </w:r>
      <w:r w:rsidR="004301F3">
        <w:t xml:space="preserve"> </w:t>
      </w:r>
      <w:r w:rsidR="00A64C5D">
        <w:t>will be asked to</w:t>
      </w:r>
      <w:r w:rsidRPr="00A6768A">
        <w:t xml:space="preserve"> address how their project includes researchers from diverse backgrounds. These include and are not limited to female identified entrepreneurs or researchers, First Nations entrepreneurs</w:t>
      </w:r>
      <w:r w:rsidR="00856EE5">
        <w:t>,</w:t>
      </w:r>
      <w:r w:rsidRPr="00A6768A">
        <w:t xml:space="preserve"> and researchers from regionally headquartered institutions.</w:t>
      </w:r>
      <w:r w:rsidR="00A64C5D">
        <w:t xml:space="preserve"> </w:t>
      </w:r>
    </w:p>
    <w:p w14:paraId="5E025997" w14:textId="77AC932E" w:rsidR="00ED42D3" w:rsidRDefault="00975129" w:rsidP="002A137C">
      <w:r>
        <w:t>Based on learning</w:t>
      </w:r>
      <w:r w:rsidR="00A64C5D">
        <w:t>s</w:t>
      </w:r>
      <w:r>
        <w:t xml:space="preserve"> from the AEA Seed pilot program,</w:t>
      </w:r>
      <w:r w:rsidR="005A0970">
        <w:t xml:space="preserve"> applications </w:t>
      </w:r>
      <w:r w:rsidR="00AA4877">
        <w:t xml:space="preserve">received </w:t>
      </w:r>
      <w:r w:rsidR="00A64C5D">
        <w:t xml:space="preserve">from </w:t>
      </w:r>
      <w:r w:rsidR="00AA4877">
        <w:t>regionally headquartered universities (and other universities partnering with these)</w:t>
      </w:r>
      <w:r w:rsidR="00FF1F75">
        <w:t>, female identified Lead Entrepreneurs and First Nations identified Lead Entrepreneurs</w:t>
      </w:r>
      <w:r w:rsidR="00A64C5D">
        <w:t xml:space="preserve"> </w:t>
      </w:r>
      <w:r w:rsidR="005A0970">
        <w:t>to</w:t>
      </w:r>
      <w:r w:rsidR="00ED42D3">
        <w:t xml:space="preserve"> Round 1 of</w:t>
      </w:r>
      <w:r w:rsidR="005A0970">
        <w:t xml:space="preserve"> </w:t>
      </w:r>
      <w:r w:rsidR="00A64C5D">
        <w:t>Ignite</w:t>
      </w:r>
      <w:r w:rsidR="00E4027A">
        <w:t xml:space="preserve"> </w:t>
      </w:r>
      <w:r w:rsidR="009C18D3">
        <w:t>will be eligible to receive additional points after assessment and benchmarking of the</w:t>
      </w:r>
      <w:r w:rsidR="00F37E69">
        <w:t>ir</w:t>
      </w:r>
      <w:r w:rsidR="009C18D3">
        <w:t xml:space="preserve"> application</w:t>
      </w:r>
      <w:r w:rsidR="00C9245E">
        <w:t>.</w:t>
      </w:r>
      <w:r w:rsidR="00ED42D3">
        <w:t xml:space="preserve"> </w:t>
      </w:r>
    </w:p>
    <w:p w14:paraId="1BA91AE3" w14:textId="3A4EAAE5" w:rsidR="00ED42D3" w:rsidRDefault="00ED42D3" w:rsidP="00A64C5D"/>
    <w:p w14:paraId="607A1C38" w14:textId="77777777" w:rsidR="002A137C" w:rsidRPr="002A137C" w:rsidRDefault="002A137C" w:rsidP="00944054"/>
    <w:p w14:paraId="4FCCA08A" w14:textId="4CE4436E" w:rsidR="009900B7" w:rsidRDefault="0097174C" w:rsidP="002855A3">
      <w:pPr>
        <w:pStyle w:val="Heading2"/>
      </w:pPr>
      <w:r>
        <w:br w:type="page"/>
      </w:r>
      <w:bookmarkStart w:id="8" w:name="_Toc170917801"/>
      <w:r w:rsidR="008D6FC9">
        <w:lastRenderedPageBreak/>
        <w:t xml:space="preserve">AEA </w:t>
      </w:r>
      <w:r w:rsidR="009900B7">
        <w:t xml:space="preserve">Investment </w:t>
      </w:r>
      <w:r w:rsidR="008D6FC9">
        <w:t>Priorities</w:t>
      </w:r>
      <w:bookmarkEnd w:id="8"/>
    </w:p>
    <w:p w14:paraId="35B02DC3" w14:textId="6C967990" w:rsidR="004968DD" w:rsidRDefault="009900B7" w:rsidP="004968DD">
      <w:pPr>
        <w:pStyle w:val="Heading3"/>
        <w:spacing w:before="360"/>
      </w:pPr>
      <w:bookmarkStart w:id="9" w:name="_Toc170917802"/>
      <w:r>
        <w:t xml:space="preserve">Areas of </w:t>
      </w:r>
      <w:r w:rsidR="00D07295">
        <w:t>national priority</w:t>
      </w:r>
      <w:bookmarkEnd w:id="9"/>
    </w:p>
    <w:p w14:paraId="386A9C5C" w14:textId="36430A58" w:rsidR="002231EB" w:rsidRDefault="001E587A" w:rsidP="00A03225">
      <w:r>
        <w:t xml:space="preserve">The AEA serves a </w:t>
      </w:r>
      <w:r w:rsidR="00B70476">
        <w:t>vital</w:t>
      </w:r>
      <w:r>
        <w:t xml:space="preserve"> role in Australia’s research and innovation</w:t>
      </w:r>
      <w:r w:rsidR="007D3EE4">
        <w:t xml:space="preserve"> </w:t>
      </w:r>
      <w:r>
        <w:t xml:space="preserve">landscape by providing the support necessary to accelerate research outputs into a state of </w:t>
      </w:r>
      <w:r w:rsidR="00EB024C">
        <w:t>investor</w:t>
      </w:r>
      <w:r>
        <w:t xml:space="preserve"> readiness. Therefore, it </w:t>
      </w:r>
      <w:r w:rsidR="00B70476">
        <w:t>is</w:t>
      </w:r>
      <w:r>
        <w:t xml:space="preserve"> </w:t>
      </w:r>
      <w:r w:rsidR="00EB07F4">
        <w:t>critical</w:t>
      </w:r>
      <w:r>
        <w:t xml:space="preserve"> that </w:t>
      </w:r>
      <w:r w:rsidR="00EB024C">
        <w:t>efforts</w:t>
      </w:r>
      <w:r w:rsidR="00CB0A39">
        <w:t xml:space="preserve"> </w:t>
      </w:r>
      <w:r w:rsidR="00EB024C">
        <w:t>are</w:t>
      </w:r>
      <w:r w:rsidR="00CB0A39">
        <w:t xml:space="preserve"> </w:t>
      </w:r>
      <w:r w:rsidR="00496CCF">
        <w:t>targeted</w:t>
      </w:r>
      <w:r w:rsidR="00CB0A39">
        <w:t xml:space="preserve"> </w:t>
      </w:r>
      <w:r w:rsidR="006322FC">
        <w:t>to</w:t>
      </w:r>
      <w:r w:rsidR="00ED5A1B">
        <w:t xml:space="preserve"> </w:t>
      </w:r>
      <w:r w:rsidR="00B54D0A">
        <w:t>areas</w:t>
      </w:r>
      <w:r w:rsidR="00ED5A1B">
        <w:t xml:space="preserve"> </w:t>
      </w:r>
      <w:r w:rsidR="006D6795">
        <w:t xml:space="preserve">where </w:t>
      </w:r>
      <w:r w:rsidR="008B2487">
        <w:t xml:space="preserve">Australian </w:t>
      </w:r>
      <w:r w:rsidR="006D6795">
        <w:t>research can build scale and have</w:t>
      </w:r>
      <w:r w:rsidR="00F71D5B">
        <w:t xml:space="preserve"> </w:t>
      </w:r>
      <w:r w:rsidR="006D6795">
        <w:t>real-world</w:t>
      </w:r>
      <w:r w:rsidR="00FD5500">
        <w:t xml:space="preserve"> </w:t>
      </w:r>
      <w:r w:rsidR="006D6795">
        <w:t>impact</w:t>
      </w:r>
      <w:r w:rsidR="002C546D">
        <w:t>.</w:t>
      </w:r>
      <w:r w:rsidR="00DD58EA">
        <w:t xml:space="preserve"> </w:t>
      </w:r>
    </w:p>
    <w:p w14:paraId="5ADD4A58" w14:textId="3DD6CE83" w:rsidR="00BC2AEC" w:rsidRDefault="00BC2AEC" w:rsidP="00462358">
      <w:pPr>
        <w:spacing w:after="120"/>
      </w:pPr>
      <w:r>
        <w:t>On this basis</w:t>
      </w:r>
      <w:r w:rsidR="0045445F">
        <w:t>, the AEA will</w:t>
      </w:r>
      <w:r>
        <w:t>:</w:t>
      </w:r>
    </w:p>
    <w:p w14:paraId="66D463F0" w14:textId="32973702" w:rsidR="00A36464" w:rsidRDefault="006616CF" w:rsidP="003D19B4">
      <w:pPr>
        <w:pStyle w:val="ListParagraph"/>
        <w:numPr>
          <w:ilvl w:val="0"/>
          <w:numId w:val="25"/>
        </w:numPr>
        <w:spacing w:after="120"/>
        <w:ind w:left="714" w:hanging="357"/>
        <w:contextualSpacing w:val="0"/>
      </w:pPr>
      <w:r>
        <w:t>a</w:t>
      </w:r>
      <w:r w:rsidR="00A36464">
        <w:t>im to</w:t>
      </w:r>
      <w:r w:rsidR="004563AA">
        <w:t xml:space="preserve"> deliver innovations that leverage Australia’s natural and comparative advantages in areas of strategic importance</w:t>
      </w:r>
    </w:p>
    <w:p w14:paraId="722EF21D" w14:textId="6E2625C2" w:rsidR="00462358" w:rsidRPr="006D6795" w:rsidRDefault="006616CF" w:rsidP="00462358">
      <w:pPr>
        <w:pStyle w:val="ListParagraph"/>
        <w:numPr>
          <w:ilvl w:val="0"/>
          <w:numId w:val="25"/>
        </w:numPr>
        <w:spacing w:after="0"/>
      </w:pPr>
      <w:r>
        <w:t>s</w:t>
      </w:r>
      <w:r w:rsidR="00462358">
        <w:t xml:space="preserve">upport research translation and commercialisation </w:t>
      </w:r>
      <w:r w:rsidR="000C2EF1">
        <w:t>that is aligned with the</w:t>
      </w:r>
      <w:r w:rsidR="00462358">
        <w:t xml:space="preserve"> </w:t>
      </w:r>
      <w:r w:rsidR="000269A5">
        <w:t>g</w:t>
      </w:r>
      <w:r w:rsidR="00462358">
        <w:t>overnment</w:t>
      </w:r>
      <w:r w:rsidR="003125EA">
        <w:t xml:space="preserve"> </w:t>
      </w:r>
      <w:r w:rsidR="00462358">
        <w:t>identified priority areas of the economy</w:t>
      </w:r>
      <w:r w:rsidR="00FC6033">
        <w:t xml:space="preserve"> (</w:t>
      </w:r>
      <w:r w:rsidR="00462358">
        <w:t xml:space="preserve">outlined in the </w:t>
      </w:r>
      <w:r w:rsidR="000610C1" w:rsidRPr="00492F5C">
        <w:rPr>
          <w:i/>
          <w:iCs/>
        </w:rPr>
        <w:t xml:space="preserve">National Reconstruction Fund Corporation </w:t>
      </w:r>
      <w:r w:rsidR="00453ED7">
        <w:rPr>
          <w:i/>
          <w:iCs/>
        </w:rPr>
        <w:t>(</w:t>
      </w:r>
      <w:r w:rsidR="000610C1" w:rsidRPr="002457E7">
        <w:rPr>
          <w:i/>
          <w:iCs/>
        </w:rPr>
        <w:t>Priority Areas</w:t>
      </w:r>
      <w:r w:rsidR="00453ED7">
        <w:rPr>
          <w:i/>
          <w:iCs/>
        </w:rPr>
        <w:t>)</w:t>
      </w:r>
      <w:r w:rsidR="000610C1" w:rsidRPr="002457E7">
        <w:rPr>
          <w:i/>
          <w:iCs/>
        </w:rPr>
        <w:t xml:space="preserve"> Declaration 2023</w:t>
      </w:r>
      <w:r w:rsidR="00FC6033">
        <w:t>)</w:t>
      </w:r>
      <w:r w:rsidR="00D07295">
        <w:t>:</w:t>
      </w:r>
    </w:p>
    <w:p w14:paraId="0E0B4729" w14:textId="4883821B" w:rsidR="00462358" w:rsidRPr="006D6795" w:rsidRDefault="00DB58E1" w:rsidP="002855A3">
      <w:pPr>
        <w:numPr>
          <w:ilvl w:val="1"/>
          <w:numId w:val="25"/>
        </w:numPr>
        <w:spacing w:after="0"/>
      </w:pPr>
      <w:r>
        <w:t>v</w:t>
      </w:r>
      <w:r w:rsidRPr="006D6795">
        <w:t>alue-add in resources</w:t>
      </w:r>
    </w:p>
    <w:p w14:paraId="61B5B6DA" w14:textId="78231EBF" w:rsidR="00462358" w:rsidRPr="006D6795" w:rsidRDefault="00DB58E1" w:rsidP="002855A3">
      <w:pPr>
        <w:numPr>
          <w:ilvl w:val="1"/>
          <w:numId w:val="25"/>
        </w:numPr>
        <w:spacing w:after="0"/>
      </w:pPr>
      <w:r>
        <w:t>v</w:t>
      </w:r>
      <w:r w:rsidRPr="006D6795">
        <w:t>alue-add in agriculture, forestry and fisheries</w:t>
      </w:r>
    </w:p>
    <w:p w14:paraId="1334A390" w14:textId="4752FDAC" w:rsidR="00462358" w:rsidRPr="006D6795" w:rsidRDefault="00DB58E1" w:rsidP="002855A3">
      <w:pPr>
        <w:numPr>
          <w:ilvl w:val="1"/>
          <w:numId w:val="25"/>
        </w:numPr>
        <w:spacing w:after="0"/>
      </w:pPr>
      <w:r>
        <w:t>tr</w:t>
      </w:r>
      <w:r w:rsidRPr="006D6795">
        <w:t>ansport</w:t>
      </w:r>
    </w:p>
    <w:p w14:paraId="65738109" w14:textId="55DA8739" w:rsidR="00462358" w:rsidRPr="006D6795" w:rsidRDefault="00DB58E1" w:rsidP="002855A3">
      <w:pPr>
        <w:numPr>
          <w:ilvl w:val="1"/>
          <w:numId w:val="25"/>
        </w:numPr>
        <w:spacing w:after="0"/>
      </w:pPr>
      <w:r>
        <w:t>m</w:t>
      </w:r>
      <w:r w:rsidRPr="006D6795">
        <w:t>edical science</w:t>
      </w:r>
    </w:p>
    <w:p w14:paraId="1B2A192D" w14:textId="3B828A72" w:rsidR="00462358" w:rsidRPr="006D6795" w:rsidRDefault="00DB58E1" w:rsidP="002855A3">
      <w:pPr>
        <w:numPr>
          <w:ilvl w:val="1"/>
          <w:numId w:val="25"/>
        </w:numPr>
        <w:spacing w:after="0"/>
      </w:pPr>
      <w:r>
        <w:t>r</w:t>
      </w:r>
      <w:r w:rsidRPr="006D6795">
        <w:t>enewables and low emissions technologies</w:t>
      </w:r>
    </w:p>
    <w:p w14:paraId="3914A432" w14:textId="1A06111B" w:rsidR="00462358" w:rsidRPr="006D6795" w:rsidRDefault="00DB58E1" w:rsidP="002855A3">
      <w:pPr>
        <w:numPr>
          <w:ilvl w:val="1"/>
          <w:numId w:val="25"/>
        </w:numPr>
        <w:spacing w:after="0"/>
      </w:pPr>
      <w:r>
        <w:t>d</w:t>
      </w:r>
      <w:r w:rsidRPr="006D6795">
        <w:t>efence capability</w:t>
      </w:r>
    </w:p>
    <w:p w14:paraId="67EBEBA0" w14:textId="0352CD62" w:rsidR="00462358" w:rsidRPr="00B83688" w:rsidRDefault="00DB58E1" w:rsidP="00B83688">
      <w:pPr>
        <w:numPr>
          <w:ilvl w:val="1"/>
          <w:numId w:val="25"/>
        </w:numPr>
        <w:spacing w:after="120"/>
      </w:pPr>
      <w:r>
        <w:t>enabling capabilities</w:t>
      </w:r>
      <w:r w:rsidR="00462358">
        <w:t xml:space="preserve"> </w:t>
      </w:r>
      <w:r w:rsidR="006B1E6E">
        <w:t>(</w:t>
      </w:r>
      <w:r w:rsidR="00462358">
        <w:t xml:space="preserve">that have the potential to diversify and transform Australian industry across </w:t>
      </w:r>
      <w:proofErr w:type="gramStart"/>
      <w:r w:rsidR="00462358">
        <w:t>a number of</w:t>
      </w:r>
      <w:proofErr w:type="gramEnd"/>
      <w:r w:rsidR="00462358">
        <w:t xml:space="preserve"> sectors</w:t>
      </w:r>
      <w:r w:rsidR="006B1E6E">
        <w:t>)</w:t>
      </w:r>
      <w:r w:rsidR="45318010">
        <w:t>.</w:t>
      </w:r>
    </w:p>
    <w:p w14:paraId="7C27DEA1" w14:textId="07474222" w:rsidR="00A36464" w:rsidRDefault="006616CF" w:rsidP="0006493D">
      <w:pPr>
        <w:pStyle w:val="ListParagraph"/>
        <w:numPr>
          <w:ilvl w:val="0"/>
          <w:numId w:val="25"/>
        </w:numPr>
        <w:spacing w:after="120"/>
        <w:ind w:left="714" w:hanging="357"/>
        <w:contextualSpacing w:val="0"/>
      </w:pPr>
      <w:r>
        <w:t>e</w:t>
      </w:r>
      <w:r w:rsidR="004563AA">
        <w:t xml:space="preserve">nsure </w:t>
      </w:r>
      <w:r w:rsidR="000C2EF1">
        <w:t xml:space="preserve">ongoing </w:t>
      </w:r>
      <w:r w:rsidR="004563AA">
        <w:t xml:space="preserve">planning </w:t>
      </w:r>
      <w:r w:rsidR="0045445F">
        <w:t xml:space="preserve">and investment </w:t>
      </w:r>
      <w:r w:rsidR="004563AA">
        <w:t>remains aligned with related activities, such as the co</w:t>
      </w:r>
      <w:r w:rsidR="22D62E54">
        <w:t>-</w:t>
      </w:r>
      <w:r w:rsidR="004563AA">
        <w:t xml:space="preserve">investment plans being developed across </w:t>
      </w:r>
      <w:r w:rsidR="00001048">
        <w:t xml:space="preserve">the above </w:t>
      </w:r>
      <w:r w:rsidR="004563AA">
        <w:t>priority areas of the economy</w:t>
      </w:r>
    </w:p>
    <w:p w14:paraId="065BFA1E" w14:textId="53C0B98A" w:rsidR="004563AA" w:rsidRDefault="006616CF" w:rsidP="79A5B284">
      <w:pPr>
        <w:pStyle w:val="ListParagraph"/>
        <w:numPr>
          <w:ilvl w:val="0"/>
          <w:numId w:val="25"/>
        </w:numPr>
        <w:spacing w:after="120"/>
        <w:ind w:left="714" w:hanging="357"/>
        <w:contextualSpacing w:val="0"/>
      </w:pPr>
      <w:r>
        <w:t>c</w:t>
      </w:r>
      <w:r w:rsidR="004563AA">
        <w:t>omplement industry</w:t>
      </w:r>
      <w:r w:rsidR="003125EA">
        <w:t xml:space="preserve"> </w:t>
      </w:r>
      <w:r w:rsidR="004563AA">
        <w:t>targeted initiatives to enhance innovation and expand domestic manufacturing, including the</w:t>
      </w:r>
      <w:r w:rsidR="37117555">
        <w:t xml:space="preserve"> NRF </w:t>
      </w:r>
      <w:r w:rsidR="004563AA">
        <w:t>and the Industry Growth Program</w:t>
      </w:r>
    </w:p>
    <w:p w14:paraId="0B18CF37" w14:textId="41CC81B3" w:rsidR="00A36464" w:rsidRDefault="006616CF" w:rsidP="0006493D">
      <w:pPr>
        <w:pStyle w:val="ListParagraph"/>
        <w:numPr>
          <w:ilvl w:val="0"/>
          <w:numId w:val="25"/>
        </w:numPr>
        <w:spacing w:after="120"/>
        <w:ind w:left="714" w:hanging="357"/>
        <w:contextualSpacing w:val="0"/>
      </w:pPr>
      <w:r>
        <w:t>s</w:t>
      </w:r>
      <w:r w:rsidR="00001048">
        <w:t xml:space="preserve">upport </w:t>
      </w:r>
      <w:r w:rsidR="00EF4420">
        <w:t xml:space="preserve">other </w:t>
      </w:r>
      <w:r w:rsidR="00001048">
        <w:t xml:space="preserve">key </w:t>
      </w:r>
      <w:r w:rsidR="00A229FB">
        <w:t>G</w:t>
      </w:r>
      <w:r w:rsidR="00001048">
        <w:t>overnment policy objectives such as sovereign capability needs, circular economy and net zero commitments.</w:t>
      </w:r>
    </w:p>
    <w:p w14:paraId="409EB28F" w14:textId="5DDBE7D0" w:rsidR="003F3148" w:rsidRDefault="003F3148" w:rsidP="00B83688">
      <w:pPr>
        <w:spacing w:after="0"/>
      </w:pPr>
      <w:r>
        <w:t>The AEA will also support objectives of the Government’s Future Made in Australia agenda, including research and commercialisation aligned with the initial priority sectors the Government has identified as part of its Future Made in Australia agenda, including:</w:t>
      </w:r>
    </w:p>
    <w:p w14:paraId="15BB0A50" w14:textId="239ABCE6" w:rsidR="003F3148" w:rsidRDefault="0007358F" w:rsidP="00176783">
      <w:pPr>
        <w:pStyle w:val="ListParagraph"/>
        <w:numPr>
          <w:ilvl w:val="0"/>
          <w:numId w:val="42"/>
        </w:numPr>
      </w:pPr>
      <w:r>
        <w:t>r</w:t>
      </w:r>
      <w:r w:rsidR="003F3148">
        <w:t>enewable hydrogen</w:t>
      </w:r>
    </w:p>
    <w:p w14:paraId="45DBF2AA" w14:textId="024D8E43" w:rsidR="003F3148" w:rsidRDefault="0007358F" w:rsidP="00176783">
      <w:pPr>
        <w:pStyle w:val="ListParagraph"/>
        <w:numPr>
          <w:ilvl w:val="0"/>
          <w:numId w:val="42"/>
        </w:numPr>
      </w:pPr>
      <w:r>
        <w:t>c</w:t>
      </w:r>
      <w:r w:rsidR="003F3148">
        <w:t>ritical minerals processing</w:t>
      </w:r>
    </w:p>
    <w:p w14:paraId="647B0BEF" w14:textId="7457577C" w:rsidR="003F3148" w:rsidRDefault="0007358F" w:rsidP="00176783">
      <w:pPr>
        <w:pStyle w:val="ListParagraph"/>
        <w:numPr>
          <w:ilvl w:val="0"/>
          <w:numId w:val="42"/>
        </w:numPr>
      </w:pPr>
      <w:r>
        <w:t>g</w:t>
      </w:r>
      <w:r w:rsidR="003F3148">
        <w:t>reen metals</w:t>
      </w:r>
    </w:p>
    <w:p w14:paraId="0632A530" w14:textId="55C42443" w:rsidR="003F3148" w:rsidRDefault="0007358F" w:rsidP="00176783">
      <w:pPr>
        <w:pStyle w:val="ListParagraph"/>
        <w:numPr>
          <w:ilvl w:val="0"/>
          <w:numId w:val="42"/>
        </w:numPr>
      </w:pPr>
      <w:r>
        <w:t>l</w:t>
      </w:r>
      <w:r w:rsidR="003F3148">
        <w:t>ow carbon liquid fuels</w:t>
      </w:r>
    </w:p>
    <w:p w14:paraId="40C5EE0A" w14:textId="60B0049E" w:rsidR="003F3148" w:rsidRDefault="0007358F" w:rsidP="00176783">
      <w:pPr>
        <w:pStyle w:val="ListParagraph"/>
        <w:numPr>
          <w:ilvl w:val="0"/>
          <w:numId w:val="42"/>
        </w:numPr>
      </w:pPr>
      <w:r>
        <w:t>c</w:t>
      </w:r>
      <w:r w:rsidR="003F3148">
        <w:t>lean energy manufacturing, including battery and solar panel supply chains</w:t>
      </w:r>
      <w:r w:rsidR="00856EE5">
        <w:t>.</w:t>
      </w:r>
    </w:p>
    <w:p w14:paraId="43BEBD43" w14:textId="6AB866F1" w:rsidR="00A376D1" w:rsidRDefault="00EF4420" w:rsidP="0097174C">
      <w:r>
        <w:t>T</w:t>
      </w:r>
      <w:r w:rsidR="006D6795">
        <w:t xml:space="preserve">o </w:t>
      </w:r>
      <w:r w:rsidR="007E55CD">
        <w:t xml:space="preserve">ensure AEA investment </w:t>
      </w:r>
      <w:r w:rsidR="00854CB0">
        <w:t xml:space="preserve">drives the best possible outcomes, </w:t>
      </w:r>
      <w:r w:rsidR="006D6795">
        <w:t>the Board has identified focus areas</w:t>
      </w:r>
      <w:r w:rsidR="007D391A">
        <w:t xml:space="preserve"> within</w:t>
      </w:r>
      <w:r w:rsidR="00F94C04">
        <w:t xml:space="preserve"> the above</w:t>
      </w:r>
      <w:r w:rsidR="007D391A">
        <w:t xml:space="preserve"> </w:t>
      </w:r>
      <w:r w:rsidR="00F94C04">
        <w:t xml:space="preserve">areas of national </w:t>
      </w:r>
      <w:r w:rsidR="007D391A">
        <w:t>priorit</w:t>
      </w:r>
      <w:r w:rsidR="009C7033">
        <w:t>y</w:t>
      </w:r>
      <w:r w:rsidR="006D6795">
        <w:t xml:space="preserve"> to be prioritised for AEA funding.</w:t>
      </w:r>
      <w:r>
        <w:t xml:space="preserve"> This is consistent with </w:t>
      </w:r>
      <w:r w:rsidR="00B05016">
        <w:t xml:space="preserve">the requirement in </w:t>
      </w:r>
      <w:r w:rsidR="003E1A44">
        <w:t>HESA</w:t>
      </w:r>
      <w:r>
        <w:t xml:space="preserve"> to </w:t>
      </w:r>
      <w:r w:rsidR="003E1A44">
        <w:t>set out</w:t>
      </w:r>
      <w:r>
        <w:t xml:space="preserve"> detailed </w:t>
      </w:r>
      <w:r w:rsidR="003E1A44">
        <w:t xml:space="preserve">and specific </w:t>
      </w:r>
      <w:r>
        <w:t>advice on investment opportunities</w:t>
      </w:r>
      <w:r w:rsidR="003E1A44">
        <w:t xml:space="preserve"> for the AEA</w:t>
      </w:r>
      <w:r>
        <w:t xml:space="preserve"> in</w:t>
      </w:r>
      <w:r w:rsidR="009B3132">
        <w:t xml:space="preserve"> areas of national priority.</w:t>
      </w:r>
      <w:r>
        <w:br w:type="page"/>
      </w:r>
    </w:p>
    <w:p w14:paraId="40A24C4D" w14:textId="3C3308D7" w:rsidR="000D7ED8" w:rsidRDefault="001A1E11" w:rsidP="002855A3">
      <w:pPr>
        <w:pStyle w:val="Heading3"/>
      </w:pPr>
      <w:bookmarkStart w:id="10" w:name="_Toc170917803"/>
      <w:r>
        <w:lastRenderedPageBreak/>
        <w:t xml:space="preserve">AEA </w:t>
      </w:r>
      <w:r w:rsidR="00176783">
        <w:t>f</w:t>
      </w:r>
      <w:r>
        <w:t xml:space="preserve">ocus </w:t>
      </w:r>
      <w:r w:rsidR="00176783">
        <w:t>a</w:t>
      </w:r>
      <w:r>
        <w:t>reas</w:t>
      </w:r>
      <w:bookmarkEnd w:id="10"/>
    </w:p>
    <w:p w14:paraId="471DA988" w14:textId="11EF9F25" w:rsidR="00A7604D" w:rsidRDefault="0005492B" w:rsidP="00D3037E">
      <w:pPr>
        <w:spacing w:after="160"/>
        <w:rPr>
          <w:rFonts w:ascii="Calibri" w:eastAsia="Calibri" w:hAnsi="Calibri" w:cs="Arial"/>
          <w:kern w:val="2"/>
          <w14:ligatures w14:val="standardContextual"/>
        </w:rPr>
      </w:pPr>
      <w:bookmarkStart w:id="11" w:name="_Hlk165546225"/>
      <w:r>
        <w:rPr>
          <w:rFonts w:ascii="Calibri" w:eastAsia="Calibri" w:hAnsi="Calibri" w:cs="Arial"/>
          <w:kern w:val="2"/>
          <w14:ligatures w14:val="standardContextual"/>
        </w:rPr>
        <w:t>To support AEA investment planning, t</w:t>
      </w:r>
      <w:r w:rsidRPr="0005492B">
        <w:rPr>
          <w:rFonts w:ascii="Calibri" w:eastAsia="Calibri" w:hAnsi="Calibri" w:cs="Arial"/>
          <w:kern w:val="2"/>
          <w14:ligatures w14:val="standardContextual"/>
        </w:rPr>
        <w:t>he</w:t>
      </w:r>
      <w:r>
        <w:rPr>
          <w:rFonts w:ascii="Calibri" w:eastAsia="Calibri" w:hAnsi="Calibri" w:cs="Arial"/>
          <w:kern w:val="2"/>
          <w14:ligatures w14:val="standardContextual"/>
        </w:rPr>
        <w:t xml:space="preserve"> Board </w:t>
      </w:r>
      <w:r w:rsidR="00750F95">
        <w:rPr>
          <w:rFonts w:ascii="Calibri" w:eastAsia="Calibri" w:hAnsi="Calibri" w:cs="Arial"/>
          <w:kern w:val="2"/>
          <w14:ligatures w14:val="standardContextual"/>
        </w:rPr>
        <w:t>has considered</w:t>
      </w:r>
      <w:r w:rsidRPr="0005492B">
        <w:rPr>
          <w:rFonts w:ascii="Calibri" w:eastAsia="Calibri" w:hAnsi="Calibri" w:cs="Arial"/>
          <w:kern w:val="2"/>
          <w14:ligatures w14:val="standardContextual"/>
        </w:rPr>
        <w:t xml:space="preserve"> focus areas where the AEA program can make strong contributions to</w:t>
      </w:r>
      <w:r w:rsidR="00921AE0" w:rsidRPr="00921AE0">
        <w:t xml:space="preserve"> </w:t>
      </w:r>
      <w:r w:rsidR="00921AE0">
        <w:t>rebuilding, modernising</w:t>
      </w:r>
      <w:r w:rsidR="003125EA">
        <w:t>,</w:t>
      </w:r>
      <w:r w:rsidR="00921AE0">
        <w:t xml:space="preserve"> and diversifying Australia’s industr</w:t>
      </w:r>
      <w:r w:rsidR="001E3292">
        <w:t>y</w:t>
      </w:r>
      <w:r w:rsidR="00921AE0">
        <w:t xml:space="preserve"> base</w:t>
      </w:r>
      <w:r w:rsidR="00522BC6">
        <w:t xml:space="preserve"> and economy</w:t>
      </w:r>
      <w:r w:rsidRPr="0005492B">
        <w:rPr>
          <w:rFonts w:ascii="Calibri" w:eastAsia="Calibri" w:hAnsi="Calibri" w:cs="Arial"/>
          <w:kern w:val="2"/>
          <w14:ligatures w14:val="standardContextual"/>
        </w:rPr>
        <w:t xml:space="preserve">. </w:t>
      </w:r>
    </w:p>
    <w:p w14:paraId="76AB24DF" w14:textId="43E17C33" w:rsidR="00F247E3" w:rsidRDefault="00EA44A0" w:rsidP="005355B4">
      <w:pPr>
        <w:spacing w:after="160"/>
        <w:rPr>
          <w:rFonts w:ascii="Calibri" w:eastAsia="Calibri" w:hAnsi="Calibri" w:cs="Arial"/>
          <w:kern w:val="2"/>
          <w14:ligatures w14:val="standardContextual"/>
        </w:rPr>
      </w:pPr>
      <w:r>
        <w:rPr>
          <w:rFonts w:ascii="Calibri" w:eastAsia="Calibri" w:hAnsi="Calibri" w:cs="Arial"/>
        </w:rPr>
        <w:t>A shared focus</w:t>
      </w:r>
      <w:r w:rsidRPr="2E8085B0">
        <w:rPr>
          <w:rFonts w:ascii="Calibri" w:eastAsia="Calibri" w:hAnsi="Calibri" w:cs="Arial"/>
        </w:rPr>
        <w:t xml:space="preserve"> a</w:t>
      </w:r>
      <w:r>
        <w:rPr>
          <w:rFonts w:ascii="Calibri" w:eastAsia="Calibri" w:hAnsi="Calibri" w:cs="Arial"/>
        </w:rPr>
        <w:t xml:space="preserve">nd </w:t>
      </w:r>
      <w:r w:rsidRPr="2E8085B0">
        <w:rPr>
          <w:rFonts w:ascii="Calibri" w:eastAsia="Calibri" w:hAnsi="Calibri" w:cs="Arial"/>
        </w:rPr>
        <w:t>sense of problem</w:t>
      </w:r>
      <w:r w:rsidR="00AB3FC2">
        <w:rPr>
          <w:rFonts w:ascii="Calibri" w:eastAsia="Calibri" w:hAnsi="Calibri" w:cs="Arial"/>
        </w:rPr>
        <w:t>,</w:t>
      </w:r>
      <w:r w:rsidRPr="2E8085B0">
        <w:rPr>
          <w:rFonts w:ascii="Calibri" w:eastAsia="Calibri" w:hAnsi="Calibri" w:cs="Arial"/>
        </w:rPr>
        <w:t xml:space="preserve"> across the research and innovation community is a key step in driving stronger partnerships and better outcomes in areas where Australia </w:t>
      </w:r>
      <w:r>
        <w:rPr>
          <w:rFonts w:ascii="Calibri" w:eastAsia="Calibri" w:hAnsi="Calibri" w:cs="Arial"/>
        </w:rPr>
        <w:t>can</w:t>
      </w:r>
      <w:r w:rsidRPr="2E8085B0">
        <w:rPr>
          <w:rFonts w:ascii="Calibri" w:eastAsia="Calibri" w:hAnsi="Calibri" w:cs="Arial"/>
        </w:rPr>
        <w:t xml:space="preserve"> leverage </w:t>
      </w:r>
      <w:r w:rsidR="00B03D3A">
        <w:rPr>
          <w:rFonts w:ascii="Calibri" w:eastAsia="Calibri" w:hAnsi="Calibri" w:cs="Arial"/>
        </w:rPr>
        <w:t>its</w:t>
      </w:r>
      <w:r>
        <w:rPr>
          <w:rFonts w:ascii="Calibri" w:eastAsia="Calibri" w:hAnsi="Calibri" w:cs="Arial"/>
        </w:rPr>
        <w:t xml:space="preserve"> advantages</w:t>
      </w:r>
      <w:r w:rsidRPr="2E8085B0">
        <w:rPr>
          <w:rFonts w:ascii="Calibri" w:eastAsia="Calibri" w:hAnsi="Calibri" w:cs="Arial"/>
        </w:rPr>
        <w:t xml:space="preserve"> to develop future industries.</w:t>
      </w:r>
      <w:r>
        <w:rPr>
          <w:rFonts w:ascii="Calibri" w:eastAsia="Calibri" w:hAnsi="Calibri" w:cs="Arial"/>
        </w:rPr>
        <w:t xml:space="preserve"> </w:t>
      </w:r>
      <w:r w:rsidR="00D3037E" w:rsidRPr="2E8085B0">
        <w:rPr>
          <w:rFonts w:ascii="Calibri" w:eastAsia="Calibri" w:hAnsi="Calibri" w:cs="Arial"/>
        </w:rPr>
        <w:t xml:space="preserve">The identification of </w:t>
      </w:r>
      <w:r w:rsidR="00D3037E">
        <w:rPr>
          <w:rFonts w:ascii="Calibri" w:eastAsia="Calibri" w:hAnsi="Calibri" w:cs="Arial"/>
        </w:rPr>
        <w:t xml:space="preserve">AEA </w:t>
      </w:r>
      <w:r w:rsidR="00D3037E" w:rsidRPr="2E8085B0">
        <w:rPr>
          <w:rFonts w:ascii="Calibri" w:eastAsia="Calibri" w:hAnsi="Calibri" w:cs="Arial"/>
        </w:rPr>
        <w:t xml:space="preserve">focus areas </w:t>
      </w:r>
      <w:r w:rsidR="005A0DE3">
        <w:rPr>
          <w:rFonts w:ascii="Calibri" w:eastAsia="Calibri" w:hAnsi="Calibri" w:cs="Arial"/>
        </w:rPr>
        <w:t>(</w:t>
      </w:r>
      <w:r w:rsidR="00D3037E" w:rsidRPr="2E8085B0">
        <w:rPr>
          <w:rFonts w:ascii="Calibri" w:eastAsia="Calibri" w:hAnsi="Calibri" w:cs="Arial"/>
        </w:rPr>
        <w:t xml:space="preserve">and research translation </w:t>
      </w:r>
      <w:r w:rsidR="006E1C2D">
        <w:rPr>
          <w:rFonts w:ascii="Calibri" w:eastAsia="Calibri" w:hAnsi="Calibri" w:cs="Arial"/>
        </w:rPr>
        <w:t>needs</w:t>
      </w:r>
      <w:r w:rsidR="00D3037E" w:rsidRPr="2E8085B0">
        <w:rPr>
          <w:rFonts w:ascii="Calibri" w:eastAsia="Calibri" w:hAnsi="Calibri" w:cs="Arial"/>
        </w:rPr>
        <w:t xml:space="preserve"> within each of these areas</w:t>
      </w:r>
      <w:r w:rsidR="005A0DE3">
        <w:rPr>
          <w:rFonts w:ascii="Calibri" w:eastAsia="Calibri" w:hAnsi="Calibri" w:cs="Arial"/>
        </w:rPr>
        <w:t>)</w:t>
      </w:r>
      <w:r w:rsidR="00D3037E" w:rsidRPr="2E8085B0">
        <w:rPr>
          <w:rFonts w:ascii="Calibri" w:eastAsia="Calibri" w:hAnsi="Calibri" w:cs="Arial"/>
        </w:rPr>
        <w:t xml:space="preserve"> </w:t>
      </w:r>
      <w:r w:rsidR="004163D2">
        <w:rPr>
          <w:rFonts w:ascii="Calibri" w:eastAsia="Calibri" w:hAnsi="Calibri" w:cs="Arial"/>
        </w:rPr>
        <w:t>is</w:t>
      </w:r>
      <w:r w:rsidR="00D3037E" w:rsidRPr="2E8085B0">
        <w:rPr>
          <w:rFonts w:ascii="Calibri" w:eastAsia="Calibri" w:hAnsi="Calibri" w:cs="Arial"/>
        </w:rPr>
        <w:t xml:space="preserve"> designed to provide the Australian research community with clear </w:t>
      </w:r>
      <w:r w:rsidR="00413666">
        <w:rPr>
          <w:rFonts w:ascii="Calibri" w:eastAsia="Calibri" w:hAnsi="Calibri" w:cs="Arial"/>
        </w:rPr>
        <w:t>targets</w:t>
      </w:r>
      <w:r w:rsidR="00D3037E" w:rsidRPr="2E8085B0">
        <w:rPr>
          <w:rFonts w:ascii="Calibri" w:eastAsia="Calibri" w:hAnsi="Calibri" w:cs="Arial"/>
        </w:rPr>
        <w:t xml:space="preserve"> against which to apply their expertise, capacity and talent</w:t>
      </w:r>
      <w:r w:rsidR="00D3037E">
        <w:rPr>
          <w:rFonts w:ascii="Calibri" w:eastAsia="Calibri" w:hAnsi="Calibri" w:cs="Arial"/>
        </w:rPr>
        <w:t>.</w:t>
      </w:r>
      <w:r w:rsidR="00D3037E" w:rsidRPr="2E8085B0">
        <w:rPr>
          <w:rFonts w:ascii="Calibri" w:eastAsia="Calibri" w:hAnsi="Calibri" w:cs="Arial"/>
        </w:rPr>
        <w:t xml:space="preserve"> </w:t>
      </w:r>
      <w:r w:rsidR="00915DBB">
        <w:rPr>
          <w:rFonts w:ascii="Calibri" w:eastAsia="Calibri" w:hAnsi="Calibri" w:cs="Arial"/>
        </w:rPr>
        <w:t xml:space="preserve">Accordingly, </w:t>
      </w:r>
      <w:r w:rsidR="005A0DE3">
        <w:rPr>
          <w:rFonts w:ascii="Calibri" w:eastAsia="Calibri" w:hAnsi="Calibri" w:cs="Arial"/>
        </w:rPr>
        <w:t>when considering proposals</w:t>
      </w:r>
      <w:r w:rsidR="00915DBB">
        <w:rPr>
          <w:rFonts w:ascii="Calibri" w:eastAsia="Calibri" w:hAnsi="Calibri" w:cs="Arial"/>
        </w:rPr>
        <w:t>, t</w:t>
      </w:r>
      <w:r w:rsidR="00915DBB" w:rsidRPr="2E8085B0">
        <w:rPr>
          <w:rFonts w:ascii="Calibri" w:eastAsia="Calibri" w:hAnsi="Calibri" w:cs="Arial"/>
        </w:rPr>
        <w:t xml:space="preserve">he AEA will </w:t>
      </w:r>
      <w:r w:rsidR="00915DBB">
        <w:rPr>
          <w:rFonts w:ascii="Calibri" w:eastAsia="Calibri" w:hAnsi="Calibri" w:cs="Arial"/>
        </w:rPr>
        <w:t>first examine</w:t>
      </w:r>
      <w:r w:rsidR="00915DBB" w:rsidRPr="2E8085B0">
        <w:rPr>
          <w:rFonts w:ascii="Calibri" w:eastAsia="Calibri" w:hAnsi="Calibri" w:cs="Arial"/>
        </w:rPr>
        <w:t xml:space="preserve"> </w:t>
      </w:r>
      <w:r w:rsidR="00915DBB">
        <w:rPr>
          <w:rFonts w:ascii="Calibri" w:eastAsia="Calibri" w:hAnsi="Calibri" w:cs="Arial"/>
        </w:rPr>
        <w:t xml:space="preserve">whether projects are addressing a genuine need before considering the capacity </w:t>
      </w:r>
      <w:r w:rsidR="005A0DE3">
        <w:rPr>
          <w:rFonts w:ascii="Calibri" w:eastAsia="Calibri" w:hAnsi="Calibri" w:cs="Arial"/>
        </w:rPr>
        <w:t>and capability</w:t>
      </w:r>
      <w:r w:rsidR="00915DBB">
        <w:rPr>
          <w:rFonts w:ascii="Calibri" w:eastAsia="Calibri" w:hAnsi="Calibri" w:cs="Arial"/>
        </w:rPr>
        <w:t xml:space="preserve"> of proponents to deliver it</w:t>
      </w:r>
      <w:r w:rsidR="00915DBB" w:rsidRPr="2E8085B0">
        <w:rPr>
          <w:rFonts w:ascii="Calibri" w:eastAsia="Calibri" w:hAnsi="Calibri" w:cs="Arial"/>
        </w:rPr>
        <w:t>.</w:t>
      </w:r>
      <w:r w:rsidR="00915DBB" w:rsidRPr="00D3037E">
        <w:rPr>
          <w:rFonts w:ascii="Calibri" w:eastAsia="Calibri" w:hAnsi="Calibri" w:cs="Arial"/>
          <w:kern w:val="2"/>
          <w14:ligatures w14:val="standardContextual"/>
        </w:rPr>
        <w:t xml:space="preserve"> </w:t>
      </w:r>
    </w:p>
    <w:p w14:paraId="04A2F804" w14:textId="7708FB41" w:rsidR="00D3037E" w:rsidRDefault="003E71E8" w:rsidP="005355B4">
      <w:pPr>
        <w:spacing w:after="160"/>
        <w:rPr>
          <w:rFonts w:ascii="Calibri" w:eastAsia="Calibri" w:hAnsi="Calibri" w:cs="Arial"/>
          <w:kern w:val="2"/>
          <w14:ligatures w14:val="standardContextual"/>
        </w:rPr>
      </w:pPr>
      <w:r w:rsidRPr="5A3BCCDE">
        <w:rPr>
          <w:rFonts w:ascii="Calibri" w:eastAsia="Calibri" w:hAnsi="Calibri" w:cs="Arial"/>
        </w:rPr>
        <w:t>The</w:t>
      </w:r>
      <w:r w:rsidR="00B25AE1" w:rsidRPr="5A3BCCDE">
        <w:rPr>
          <w:rFonts w:ascii="Calibri" w:eastAsia="Calibri" w:hAnsi="Calibri" w:cs="Arial"/>
        </w:rPr>
        <w:t xml:space="preserve"> </w:t>
      </w:r>
      <w:r w:rsidR="00B25AE1" w:rsidRPr="5A3BCCDE" w:rsidDel="009F046C">
        <w:rPr>
          <w:rFonts w:ascii="Calibri" w:eastAsia="Calibri" w:hAnsi="Calibri" w:cs="Arial"/>
        </w:rPr>
        <w:t>f</w:t>
      </w:r>
      <w:r w:rsidR="00B25AE1" w:rsidRPr="5A3BCCDE">
        <w:rPr>
          <w:rFonts w:ascii="Calibri" w:eastAsia="Calibri" w:hAnsi="Calibri" w:cs="Arial"/>
        </w:rPr>
        <w:t>ocus areas</w:t>
      </w:r>
      <w:r w:rsidR="00915DBB" w:rsidRPr="5A3BCCDE">
        <w:rPr>
          <w:rFonts w:ascii="Calibri" w:eastAsia="Calibri" w:hAnsi="Calibri" w:cs="Arial"/>
        </w:rPr>
        <w:t xml:space="preserve"> presented </w:t>
      </w:r>
      <w:r w:rsidRPr="5A3BCCDE">
        <w:rPr>
          <w:rFonts w:ascii="Calibri" w:eastAsia="Calibri" w:hAnsi="Calibri" w:cs="Arial"/>
        </w:rPr>
        <w:t>here</w:t>
      </w:r>
      <w:r w:rsidR="00B25AE1" w:rsidRPr="5A3BCCDE">
        <w:rPr>
          <w:rFonts w:ascii="Calibri" w:eastAsia="Calibri" w:hAnsi="Calibri" w:cs="Arial"/>
        </w:rPr>
        <w:t xml:space="preserve"> </w:t>
      </w:r>
      <w:r w:rsidR="00954D5D" w:rsidRPr="5A3BCCDE">
        <w:rPr>
          <w:rFonts w:ascii="Calibri" w:eastAsia="Calibri" w:hAnsi="Calibri" w:cs="Arial"/>
        </w:rPr>
        <w:t>will</w:t>
      </w:r>
      <w:r w:rsidR="00B25AE1" w:rsidRPr="5A3BCCDE">
        <w:rPr>
          <w:rFonts w:ascii="Calibri" w:eastAsia="Calibri" w:hAnsi="Calibri" w:cs="Arial"/>
        </w:rPr>
        <w:t xml:space="preserve"> </w:t>
      </w:r>
      <w:r w:rsidRPr="5A3BCCDE">
        <w:rPr>
          <w:rFonts w:ascii="Calibri" w:eastAsia="Calibri" w:hAnsi="Calibri" w:cs="Arial"/>
        </w:rPr>
        <w:t>help</w:t>
      </w:r>
      <w:r w:rsidR="00B25AE1" w:rsidRPr="5A3BCCDE">
        <w:rPr>
          <w:rFonts w:ascii="Calibri" w:eastAsia="Calibri" w:hAnsi="Calibri" w:cs="Arial"/>
        </w:rPr>
        <w:t xml:space="preserve"> ensure that proposals received from researchers are responding to genuine national needs and opportunities. </w:t>
      </w:r>
    </w:p>
    <w:p w14:paraId="340807D3" w14:textId="626C0B4B" w:rsidR="003B4FBE" w:rsidRDefault="003B4FBE" w:rsidP="003B4FBE">
      <w:pPr>
        <w:pStyle w:val="Heading4"/>
        <w:rPr>
          <w:rFonts w:eastAsia="Calibri"/>
        </w:rPr>
      </w:pPr>
      <w:bookmarkStart w:id="12" w:name="_Toc170917804"/>
      <w:r>
        <w:rPr>
          <w:rFonts w:eastAsia="Calibri"/>
        </w:rPr>
        <w:t>Approach</w:t>
      </w:r>
      <w:bookmarkEnd w:id="12"/>
    </w:p>
    <w:p w14:paraId="3D74182F" w14:textId="75B4CC21" w:rsidR="007B6707" w:rsidRDefault="0005492B" w:rsidP="005355B4">
      <w:pPr>
        <w:spacing w:after="160"/>
        <w:rPr>
          <w:rFonts w:ascii="Calibri" w:eastAsia="Calibri" w:hAnsi="Calibri" w:cs="Arial"/>
          <w:kern w:val="2"/>
          <w14:ligatures w14:val="standardContextual"/>
        </w:rPr>
      </w:pPr>
      <w:r w:rsidRPr="0005492B">
        <w:rPr>
          <w:rFonts w:ascii="Calibri" w:eastAsia="Calibri" w:hAnsi="Calibri" w:cs="Arial"/>
          <w:kern w:val="2"/>
          <w14:ligatures w14:val="standardContextual"/>
        </w:rPr>
        <w:t xml:space="preserve">To inform </w:t>
      </w:r>
      <w:r w:rsidR="00A35181">
        <w:rPr>
          <w:rFonts w:ascii="Calibri" w:eastAsia="Calibri" w:hAnsi="Calibri" w:cs="Arial"/>
          <w:kern w:val="2"/>
          <w14:ligatures w14:val="standardContextual"/>
        </w:rPr>
        <w:t>the</w:t>
      </w:r>
      <w:r w:rsidRPr="0005492B">
        <w:rPr>
          <w:rFonts w:ascii="Calibri" w:eastAsia="Calibri" w:hAnsi="Calibri" w:cs="Arial"/>
          <w:kern w:val="2"/>
          <w14:ligatures w14:val="standardContextual"/>
        </w:rPr>
        <w:t xml:space="preserve"> </w:t>
      </w:r>
      <w:r w:rsidR="00A35181">
        <w:rPr>
          <w:rFonts w:ascii="Calibri" w:eastAsia="Calibri" w:hAnsi="Calibri" w:cs="Arial"/>
          <w:kern w:val="2"/>
          <w14:ligatures w14:val="standardContextual"/>
        </w:rPr>
        <w:t>identification</w:t>
      </w:r>
      <w:r w:rsidRPr="0005492B">
        <w:rPr>
          <w:rFonts w:ascii="Calibri" w:eastAsia="Calibri" w:hAnsi="Calibri" w:cs="Arial"/>
          <w:kern w:val="2"/>
          <w14:ligatures w14:val="standardContextual"/>
        </w:rPr>
        <w:t xml:space="preserve"> of </w:t>
      </w:r>
      <w:r w:rsidR="00E72EAD">
        <w:rPr>
          <w:rFonts w:ascii="Calibri" w:eastAsia="Calibri" w:hAnsi="Calibri" w:cs="Arial"/>
          <w:kern w:val="2"/>
          <w14:ligatures w14:val="standardContextual"/>
        </w:rPr>
        <w:t>AEA</w:t>
      </w:r>
      <w:r w:rsidRPr="0005492B">
        <w:rPr>
          <w:rFonts w:ascii="Calibri" w:eastAsia="Calibri" w:hAnsi="Calibri" w:cs="Arial"/>
          <w:kern w:val="2"/>
          <w14:ligatures w14:val="standardContextual"/>
        </w:rPr>
        <w:t xml:space="preserve"> investment prioritie</w:t>
      </w:r>
      <w:r w:rsidR="007B6707">
        <w:rPr>
          <w:rFonts w:ascii="Calibri" w:eastAsia="Calibri" w:hAnsi="Calibri" w:cs="Arial"/>
          <w:kern w:val="2"/>
          <w14:ligatures w14:val="standardContextual"/>
        </w:rPr>
        <w:t>s, the Board has:</w:t>
      </w:r>
      <w:r w:rsidR="00CA6D5B">
        <w:rPr>
          <w:rFonts w:ascii="Calibri" w:eastAsia="Calibri" w:hAnsi="Calibri" w:cs="Arial"/>
          <w:kern w:val="2"/>
          <w14:ligatures w14:val="standardContextual"/>
        </w:rPr>
        <w:t xml:space="preserve"> </w:t>
      </w:r>
    </w:p>
    <w:p w14:paraId="0CB8A665" w14:textId="2D338430" w:rsidR="008E5FBE" w:rsidRPr="007B6707" w:rsidRDefault="00751871" w:rsidP="008E5FBE">
      <w:pPr>
        <w:pStyle w:val="ListParagraph"/>
        <w:numPr>
          <w:ilvl w:val="0"/>
          <w:numId w:val="28"/>
        </w:numPr>
        <w:spacing w:after="160"/>
        <w:rPr>
          <w:rFonts w:ascii="Calibri" w:eastAsia="Calibri" w:hAnsi="Calibri" w:cs="Arial"/>
          <w:kern w:val="2"/>
          <w14:ligatures w14:val="standardContextual"/>
        </w:rPr>
      </w:pPr>
      <w:r>
        <w:rPr>
          <w:rFonts w:ascii="Calibri" w:eastAsia="Calibri" w:hAnsi="Calibri" w:cs="Arial"/>
          <w:kern w:val="2"/>
          <w14:ligatures w14:val="standardContextual"/>
        </w:rPr>
        <w:t>c</w:t>
      </w:r>
      <w:r w:rsidR="008E5FBE">
        <w:rPr>
          <w:rFonts w:ascii="Calibri" w:eastAsia="Calibri" w:hAnsi="Calibri" w:cs="Arial"/>
          <w:kern w:val="2"/>
          <w14:ligatures w14:val="standardContextual"/>
        </w:rPr>
        <w:t xml:space="preserve">onsidered </w:t>
      </w:r>
      <w:r w:rsidR="008E5FBE" w:rsidRPr="007B6707">
        <w:rPr>
          <w:rFonts w:ascii="Calibri" w:eastAsia="Calibri" w:hAnsi="Calibri" w:cs="Arial"/>
          <w:kern w:val="2"/>
          <w14:ligatures w14:val="standardContextual"/>
        </w:rPr>
        <w:t xml:space="preserve">areas of potential future growth where there is high quality research </w:t>
      </w:r>
      <w:r w:rsidR="006E4027">
        <w:rPr>
          <w:rFonts w:ascii="Calibri" w:eastAsia="Calibri" w:hAnsi="Calibri" w:cs="Arial"/>
          <w:kern w:val="2"/>
          <w14:ligatures w14:val="standardContextual"/>
        </w:rPr>
        <w:t>with high potential</w:t>
      </w:r>
      <w:r w:rsidR="008E5FBE" w:rsidRPr="007B6707">
        <w:rPr>
          <w:rFonts w:ascii="Calibri" w:eastAsia="Calibri" w:hAnsi="Calibri" w:cs="Arial"/>
          <w:kern w:val="2"/>
          <w14:ligatures w14:val="standardContextual"/>
        </w:rPr>
        <w:t xml:space="preserve"> for translation but where translation outcomes are below </w:t>
      </w:r>
      <w:r w:rsidR="000926DA">
        <w:rPr>
          <w:rFonts w:ascii="Calibri" w:eastAsia="Calibri" w:hAnsi="Calibri" w:cs="Arial"/>
          <w:kern w:val="2"/>
          <w14:ligatures w14:val="standardContextual"/>
        </w:rPr>
        <w:t>international benchmarks</w:t>
      </w:r>
    </w:p>
    <w:p w14:paraId="34D1167C" w14:textId="798D1198" w:rsidR="008E5FBE" w:rsidRPr="0005492B" w:rsidRDefault="00751871" w:rsidP="008E5FBE">
      <w:pPr>
        <w:numPr>
          <w:ilvl w:val="0"/>
          <w:numId w:val="28"/>
        </w:numPr>
        <w:spacing w:after="160"/>
        <w:rPr>
          <w:rFonts w:ascii="Calibri" w:eastAsia="Calibri" w:hAnsi="Calibri" w:cs="Arial"/>
          <w:kern w:val="2"/>
          <w14:ligatures w14:val="standardContextual"/>
        </w:rPr>
      </w:pPr>
      <w:proofErr w:type="gramStart"/>
      <w:r>
        <w:rPr>
          <w:rFonts w:ascii="Calibri" w:eastAsia="Calibri" w:hAnsi="Calibri" w:cs="Arial"/>
          <w:kern w:val="2"/>
          <w14:ligatures w14:val="standardContextual"/>
        </w:rPr>
        <w:t>t</w:t>
      </w:r>
      <w:r w:rsidR="008E5FBE">
        <w:rPr>
          <w:rFonts w:ascii="Calibri" w:eastAsia="Calibri" w:hAnsi="Calibri" w:cs="Arial"/>
          <w:kern w:val="2"/>
          <w14:ligatures w14:val="standardContextual"/>
        </w:rPr>
        <w:t>aken into account</w:t>
      </w:r>
      <w:proofErr w:type="gramEnd"/>
      <w:r w:rsidR="008E5FBE">
        <w:rPr>
          <w:rFonts w:ascii="Calibri" w:eastAsia="Calibri" w:hAnsi="Calibri" w:cs="Arial"/>
          <w:kern w:val="2"/>
          <w14:ligatures w14:val="standardContextual"/>
        </w:rPr>
        <w:t xml:space="preserve"> </w:t>
      </w:r>
      <w:r w:rsidR="008E5FBE" w:rsidRPr="0005492B">
        <w:rPr>
          <w:rFonts w:ascii="Calibri" w:eastAsia="Calibri" w:hAnsi="Calibri" w:cs="Arial"/>
          <w:kern w:val="2"/>
          <w14:ligatures w14:val="standardContextual"/>
        </w:rPr>
        <w:t>global and domestic market opportunities, the research landscape, the capacity to translate research, and alignment to national policy priorities</w:t>
      </w:r>
    </w:p>
    <w:p w14:paraId="71E73B81" w14:textId="13DC865D" w:rsidR="0005492B" w:rsidRPr="0005492B" w:rsidRDefault="00751871" w:rsidP="0005492B">
      <w:pPr>
        <w:numPr>
          <w:ilvl w:val="1"/>
          <w:numId w:val="27"/>
        </w:numPr>
        <w:spacing w:after="160"/>
        <w:rPr>
          <w:rFonts w:ascii="Calibri" w:eastAsia="Calibri" w:hAnsi="Calibri" w:cs="Arial"/>
          <w:kern w:val="2"/>
          <w14:ligatures w14:val="standardContextual"/>
        </w:rPr>
      </w:pPr>
      <w:r>
        <w:rPr>
          <w:rFonts w:ascii="Calibri" w:eastAsia="Calibri" w:hAnsi="Calibri" w:cs="Arial"/>
          <w:kern w:val="2"/>
          <w14:ligatures w14:val="standardContextual"/>
        </w:rPr>
        <w:t>f</w:t>
      </w:r>
      <w:r w:rsidR="0005492B" w:rsidRPr="0005492B">
        <w:rPr>
          <w:rFonts w:ascii="Calibri" w:eastAsia="Calibri" w:hAnsi="Calibri" w:cs="Arial"/>
          <w:kern w:val="2"/>
          <w14:ligatures w14:val="standardContextual"/>
        </w:rPr>
        <w:t xml:space="preserve">ocused both on assessing where Australia has a base level of research strength and capacity, as well as significant potential to improve our research translation performance to support key </w:t>
      </w:r>
      <w:r w:rsidR="00C37353">
        <w:rPr>
          <w:rFonts w:ascii="Calibri" w:eastAsia="Calibri" w:hAnsi="Calibri" w:cs="Arial"/>
          <w:kern w:val="2"/>
          <w14:ligatures w14:val="standardContextual"/>
        </w:rPr>
        <w:t xml:space="preserve">national </w:t>
      </w:r>
      <w:r w:rsidR="0005492B" w:rsidRPr="0005492B">
        <w:rPr>
          <w:rFonts w:ascii="Calibri" w:eastAsia="Calibri" w:hAnsi="Calibri" w:cs="Arial"/>
          <w:kern w:val="2"/>
          <w14:ligatures w14:val="standardContextual"/>
        </w:rPr>
        <w:t>priorities</w:t>
      </w:r>
    </w:p>
    <w:p w14:paraId="4EE2B5D4" w14:textId="2F6991F3" w:rsidR="0005492B" w:rsidRDefault="00751871" w:rsidP="0005492B">
      <w:pPr>
        <w:numPr>
          <w:ilvl w:val="1"/>
          <w:numId w:val="27"/>
        </w:numPr>
        <w:spacing w:after="160"/>
        <w:rPr>
          <w:rFonts w:ascii="Calibri" w:eastAsia="Calibri" w:hAnsi="Calibri" w:cs="Arial"/>
          <w:kern w:val="2"/>
          <w14:ligatures w14:val="standardContextual"/>
        </w:rPr>
      </w:pPr>
      <w:r>
        <w:rPr>
          <w:rFonts w:ascii="Calibri" w:eastAsia="Calibri" w:hAnsi="Calibri" w:cs="Arial"/>
          <w:kern w:val="2"/>
          <w14:ligatures w14:val="standardContextual"/>
        </w:rPr>
        <w:t>c</w:t>
      </w:r>
      <w:r w:rsidR="00C37353">
        <w:rPr>
          <w:rFonts w:ascii="Calibri" w:eastAsia="Calibri" w:hAnsi="Calibri" w:cs="Arial"/>
          <w:kern w:val="2"/>
          <w14:ligatures w14:val="standardContextual"/>
        </w:rPr>
        <w:t>onsidered input from</w:t>
      </w:r>
      <w:r w:rsidR="0005492B" w:rsidRPr="0005492B">
        <w:rPr>
          <w:rFonts w:ascii="Calibri" w:eastAsia="Calibri" w:hAnsi="Calibri" w:cs="Arial"/>
          <w:kern w:val="2"/>
          <w14:ligatures w14:val="standardContextual"/>
        </w:rPr>
        <w:t xml:space="preserve"> industry</w:t>
      </w:r>
      <w:r w:rsidR="002A4D74">
        <w:rPr>
          <w:rFonts w:ascii="Calibri" w:eastAsia="Calibri" w:hAnsi="Calibri" w:cs="Arial"/>
          <w:kern w:val="2"/>
          <w14:ligatures w14:val="standardContextual"/>
        </w:rPr>
        <w:t xml:space="preserve">, </w:t>
      </w:r>
      <w:r w:rsidR="00155E78">
        <w:rPr>
          <w:rFonts w:ascii="Calibri" w:eastAsia="Calibri" w:hAnsi="Calibri" w:cs="Arial"/>
          <w:kern w:val="2"/>
          <w14:ligatures w14:val="standardContextual"/>
        </w:rPr>
        <w:t>research,</w:t>
      </w:r>
      <w:r w:rsidR="002A4D74">
        <w:rPr>
          <w:rFonts w:ascii="Calibri" w:eastAsia="Calibri" w:hAnsi="Calibri" w:cs="Arial"/>
          <w:kern w:val="2"/>
          <w14:ligatures w14:val="standardContextual"/>
        </w:rPr>
        <w:t xml:space="preserve"> and government</w:t>
      </w:r>
      <w:r w:rsidR="0005492B" w:rsidRPr="0005492B">
        <w:rPr>
          <w:rFonts w:ascii="Calibri" w:eastAsia="Calibri" w:hAnsi="Calibri" w:cs="Arial"/>
          <w:kern w:val="2"/>
          <w14:ligatures w14:val="standardContextual"/>
        </w:rPr>
        <w:t xml:space="preserve"> experts.</w:t>
      </w:r>
    </w:p>
    <w:p w14:paraId="5D007925" w14:textId="2A6C29CC" w:rsidR="00092B3D" w:rsidRDefault="00341DE1" w:rsidP="00341DE1">
      <w:pPr>
        <w:pStyle w:val="Heading4"/>
        <w:rPr>
          <w:rFonts w:eastAsia="Calibri"/>
        </w:rPr>
      </w:pPr>
      <w:bookmarkStart w:id="13" w:name="_Toc170917805"/>
      <w:r>
        <w:rPr>
          <w:rFonts w:eastAsia="Calibri"/>
        </w:rPr>
        <w:t xml:space="preserve">Identified </w:t>
      </w:r>
      <w:r w:rsidR="009E0B26">
        <w:rPr>
          <w:rFonts w:eastAsia="Calibri"/>
        </w:rPr>
        <w:t>f</w:t>
      </w:r>
      <w:r>
        <w:rPr>
          <w:rFonts w:eastAsia="Calibri"/>
        </w:rPr>
        <w:t xml:space="preserve">ocus </w:t>
      </w:r>
      <w:r w:rsidR="009E0B26">
        <w:rPr>
          <w:rFonts w:eastAsia="Calibri"/>
        </w:rPr>
        <w:t>a</w:t>
      </w:r>
      <w:r>
        <w:rPr>
          <w:rFonts w:eastAsia="Calibri"/>
        </w:rPr>
        <w:t>reas</w:t>
      </w:r>
      <w:bookmarkEnd w:id="13"/>
    </w:p>
    <w:p w14:paraId="0BE986E9" w14:textId="1621A73F" w:rsidR="003E69F4" w:rsidRDefault="003E69F4" w:rsidP="002A4D74">
      <w:pPr>
        <w:spacing w:after="160"/>
        <w:rPr>
          <w:rFonts w:ascii="Calibri" w:eastAsia="Calibri" w:hAnsi="Calibri" w:cs="Arial"/>
          <w:kern w:val="2"/>
          <w14:ligatures w14:val="standardContextual"/>
        </w:rPr>
      </w:pPr>
      <w:r>
        <w:rPr>
          <w:rFonts w:ascii="Calibri" w:eastAsia="Calibri" w:hAnsi="Calibri" w:cs="Arial"/>
          <w:kern w:val="2"/>
          <w14:ligatures w14:val="standardContextual"/>
        </w:rPr>
        <w:t xml:space="preserve">On this basis, the Board has identified 6 focus areas </w:t>
      </w:r>
      <w:r w:rsidR="00BD4656">
        <w:rPr>
          <w:rFonts w:ascii="Calibri" w:eastAsia="Calibri" w:hAnsi="Calibri" w:cs="Arial"/>
          <w:kern w:val="2"/>
          <w14:ligatures w14:val="standardContextual"/>
        </w:rPr>
        <w:t xml:space="preserve">that will be prioritised for investment in AEA grant rounds opened under this Investment Plan. These are </w:t>
      </w:r>
      <w:r w:rsidR="00F852AE">
        <w:rPr>
          <w:rFonts w:ascii="Calibri" w:eastAsia="Calibri" w:hAnsi="Calibri" w:cs="Arial"/>
          <w:kern w:val="2"/>
          <w14:ligatures w14:val="standardContextual"/>
        </w:rPr>
        <w:t>outlined below with further information on the supporting data in the Appendix.</w:t>
      </w:r>
    </w:p>
    <w:p w14:paraId="7DF4AE7A" w14:textId="2007604B" w:rsidR="001A3F5C" w:rsidRDefault="001A3F5C" w:rsidP="002A4D74">
      <w:pPr>
        <w:spacing w:after="160"/>
        <w:rPr>
          <w:rFonts w:ascii="Calibri" w:eastAsia="Calibri" w:hAnsi="Calibri" w:cs="Arial"/>
          <w:kern w:val="2"/>
          <w14:ligatures w14:val="standardContextual"/>
        </w:rPr>
      </w:pPr>
      <w:r w:rsidRPr="001A3F5C">
        <w:rPr>
          <w:rFonts w:ascii="Calibri" w:eastAsia="Calibri" w:hAnsi="Calibri" w:cs="Arial"/>
          <w:kern w:val="2"/>
          <w14:ligatures w14:val="standardContextual"/>
        </w:rPr>
        <w:t xml:space="preserve">Some </w:t>
      </w:r>
      <w:r w:rsidR="5F823A4D" w:rsidRPr="001A3F5C">
        <w:rPr>
          <w:rFonts w:ascii="Calibri" w:eastAsia="Calibri" w:hAnsi="Calibri" w:cs="Arial"/>
          <w:kern w:val="2"/>
          <w14:ligatures w14:val="standardContextual"/>
        </w:rPr>
        <w:t>of the</w:t>
      </w:r>
      <w:r w:rsidR="631922F7" w:rsidRPr="001A3F5C">
        <w:rPr>
          <w:rFonts w:ascii="Calibri" w:eastAsia="Calibri" w:hAnsi="Calibri" w:cs="Arial"/>
          <w:kern w:val="2"/>
          <w14:ligatures w14:val="standardContextual"/>
        </w:rPr>
        <w:t xml:space="preserve"> identified</w:t>
      </w:r>
      <w:r w:rsidR="5F823A4D" w:rsidRPr="001A3F5C">
        <w:rPr>
          <w:rFonts w:ascii="Calibri" w:eastAsia="Calibri" w:hAnsi="Calibri" w:cs="Arial"/>
          <w:kern w:val="2"/>
          <w14:ligatures w14:val="standardContextual"/>
        </w:rPr>
        <w:t xml:space="preserve"> focus areas </w:t>
      </w:r>
      <w:r w:rsidRPr="001A3F5C">
        <w:rPr>
          <w:rFonts w:ascii="Calibri" w:eastAsia="Calibri" w:hAnsi="Calibri" w:cs="Arial"/>
          <w:kern w:val="2"/>
          <w14:ligatures w14:val="standardContextual"/>
        </w:rPr>
        <w:t xml:space="preserve">represent established or emerging sectors within </w:t>
      </w:r>
      <w:r w:rsidR="005C47DF">
        <w:rPr>
          <w:rFonts w:ascii="Calibri" w:eastAsia="Calibri" w:hAnsi="Calibri" w:cs="Arial"/>
          <w:kern w:val="2"/>
          <w14:ligatures w14:val="standardContextual"/>
        </w:rPr>
        <w:t>areas of national priority</w:t>
      </w:r>
      <w:r w:rsidRPr="001A3F5C">
        <w:rPr>
          <w:rFonts w:ascii="Calibri" w:eastAsia="Calibri" w:hAnsi="Calibri" w:cs="Arial"/>
          <w:kern w:val="2"/>
          <w14:ligatures w14:val="standardContextual"/>
        </w:rPr>
        <w:t xml:space="preserve"> where there is </w:t>
      </w:r>
      <w:r w:rsidR="005C47DF">
        <w:rPr>
          <w:rFonts w:ascii="Calibri" w:eastAsia="Calibri" w:hAnsi="Calibri" w:cs="Arial"/>
          <w:kern w:val="2"/>
          <w14:ligatures w14:val="standardContextual"/>
        </w:rPr>
        <w:t xml:space="preserve">strong potential </w:t>
      </w:r>
      <w:r w:rsidRPr="001A3F5C">
        <w:rPr>
          <w:rFonts w:ascii="Calibri" w:eastAsia="Calibri" w:hAnsi="Calibri" w:cs="Arial"/>
          <w:kern w:val="2"/>
          <w14:ligatures w14:val="standardContextual"/>
        </w:rPr>
        <w:t xml:space="preserve">for AEA investment to deliver impact. Others represent transformative </w:t>
      </w:r>
      <w:r w:rsidR="005C47DF">
        <w:rPr>
          <w:rFonts w:ascii="Calibri" w:eastAsia="Calibri" w:hAnsi="Calibri" w:cs="Arial"/>
          <w:kern w:val="2"/>
          <w14:ligatures w14:val="standardContextual"/>
        </w:rPr>
        <w:t xml:space="preserve">and </w:t>
      </w:r>
      <w:r w:rsidRPr="001A3F5C">
        <w:rPr>
          <w:rFonts w:ascii="Calibri" w:eastAsia="Calibri" w:hAnsi="Calibri" w:cs="Arial"/>
          <w:kern w:val="2"/>
          <w14:ligatures w14:val="standardContextual"/>
        </w:rPr>
        <w:t>advanced platform technologies that can drive cross-sectoral productivity (enabling capabilities). This</w:t>
      </w:r>
      <w:r w:rsidR="005C47DF">
        <w:rPr>
          <w:rFonts w:ascii="Calibri" w:eastAsia="Calibri" w:hAnsi="Calibri" w:cs="Arial"/>
          <w:kern w:val="2"/>
          <w14:ligatures w14:val="standardContextual"/>
        </w:rPr>
        <w:t xml:space="preserve"> diverse </w:t>
      </w:r>
      <w:r w:rsidRPr="001A3F5C">
        <w:rPr>
          <w:rFonts w:ascii="Calibri" w:eastAsia="Calibri" w:hAnsi="Calibri" w:cs="Arial"/>
          <w:kern w:val="2"/>
          <w14:ligatures w14:val="standardContextual"/>
        </w:rPr>
        <w:t xml:space="preserve">approach aims to build a portfolio of AEA investments </w:t>
      </w:r>
      <w:r w:rsidR="003125EA">
        <w:rPr>
          <w:rFonts w:ascii="Calibri" w:eastAsia="Calibri" w:hAnsi="Calibri" w:cs="Arial"/>
          <w:kern w:val="2"/>
          <w14:ligatures w14:val="standardContextual"/>
        </w:rPr>
        <w:t>over</w:t>
      </w:r>
      <w:r w:rsidR="005C47DF">
        <w:rPr>
          <w:rFonts w:ascii="Calibri" w:eastAsia="Calibri" w:hAnsi="Calibri" w:cs="Arial"/>
          <w:kern w:val="2"/>
          <w14:ligatures w14:val="standardContextual"/>
        </w:rPr>
        <w:t xml:space="preserve"> time </w:t>
      </w:r>
      <w:r w:rsidRPr="001A3F5C">
        <w:rPr>
          <w:rFonts w:ascii="Calibri" w:eastAsia="Calibri" w:hAnsi="Calibri" w:cs="Arial"/>
          <w:kern w:val="2"/>
          <w14:ligatures w14:val="standardContextual"/>
        </w:rPr>
        <w:t>that</w:t>
      </w:r>
      <w:r w:rsidR="005C47DF">
        <w:rPr>
          <w:rFonts w:ascii="Calibri" w:eastAsia="Calibri" w:hAnsi="Calibri" w:cs="Arial"/>
          <w:kern w:val="2"/>
          <w14:ligatures w14:val="standardContextual"/>
        </w:rPr>
        <w:t xml:space="preserve"> will </w:t>
      </w:r>
      <w:r w:rsidRPr="001A3F5C">
        <w:rPr>
          <w:rFonts w:ascii="Calibri" w:eastAsia="Calibri" w:hAnsi="Calibri" w:cs="Arial"/>
          <w:kern w:val="2"/>
          <w14:ligatures w14:val="standardContextual"/>
        </w:rPr>
        <w:t xml:space="preserve">leverage the most promising technologies to deliver </w:t>
      </w:r>
      <w:r w:rsidR="008E4D49">
        <w:rPr>
          <w:rFonts w:ascii="Calibri" w:eastAsia="Calibri" w:hAnsi="Calibri" w:cs="Arial"/>
          <w:kern w:val="2"/>
          <w14:ligatures w14:val="standardContextual"/>
        </w:rPr>
        <w:t xml:space="preserve">internationally </w:t>
      </w:r>
      <w:r w:rsidRPr="001A3F5C">
        <w:rPr>
          <w:rFonts w:ascii="Calibri" w:eastAsia="Calibri" w:hAnsi="Calibri" w:cs="Arial"/>
          <w:kern w:val="2"/>
          <w14:ligatures w14:val="standardContextual"/>
        </w:rPr>
        <w:t xml:space="preserve">competitive industrial capability in sectors of national importance. </w:t>
      </w:r>
    </w:p>
    <w:bookmarkEnd w:id="11"/>
    <w:p w14:paraId="6A0C888A" w14:textId="58340058" w:rsidR="0005492B" w:rsidRPr="0005492B" w:rsidRDefault="0005492B" w:rsidP="005A2F99">
      <w:pPr>
        <w:spacing w:after="0"/>
        <w:rPr>
          <w:rFonts w:ascii="Calibri" w:eastAsia="Calibri" w:hAnsi="Calibri" w:cs="Arial"/>
          <w:kern w:val="2"/>
          <w14:ligatures w14:val="standardContextual"/>
        </w:rPr>
      </w:pPr>
      <w:r w:rsidRPr="0005492B">
        <w:rPr>
          <w:rFonts w:ascii="Calibri" w:eastAsia="Calibri" w:hAnsi="Calibri" w:cs="Arial"/>
          <w:kern w:val="2"/>
          <w14:ligatures w14:val="standardContextual"/>
        </w:rPr>
        <w:t>These 6 focus areas directly contribute towards</w:t>
      </w:r>
      <w:r w:rsidRPr="1D73B27F">
        <w:rPr>
          <w:rFonts w:ascii="Calibri" w:eastAsia="Calibri" w:hAnsi="Calibri" w:cs="Arial"/>
        </w:rPr>
        <w:t xml:space="preserve"> </w:t>
      </w:r>
      <w:r w:rsidR="004B1DDC">
        <w:rPr>
          <w:rFonts w:ascii="Calibri" w:eastAsia="Calibri" w:hAnsi="Calibri" w:cs="Arial"/>
        </w:rPr>
        <w:t>areas of national priority</w:t>
      </w:r>
      <w:r w:rsidR="00FC1B04">
        <w:rPr>
          <w:rFonts w:ascii="Calibri" w:eastAsia="Calibri" w:hAnsi="Calibri" w:cs="Arial"/>
          <w:kern w:val="2"/>
          <w14:ligatures w14:val="standardContextual"/>
        </w:rPr>
        <w:t xml:space="preserve"> </w:t>
      </w:r>
      <w:r w:rsidRPr="0005492B">
        <w:rPr>
          <w:rFonts w:ascii="Calibri" w:eastAsia="Calibri" w:hAnsi="Calibri" w:cs="Arial"/>
          <w:kern w:val="2"/>
          <w14:ligatures w14:val="standardContextual"/>
        </w:rPr>
        <w:t xml:space="preserve">and will capitalise on important opportunities in areas of Australian economic advantage, </w:t>
      </w:r>
      <w:r w:rsidRPr="00F247E3">
        <w:rPr>
          <w:rFonts w:ascii="Calibri" w:eastAsia="Calibri" w:hAnsi="Calibri" w:cs="Arial"/>
          <w:kern w:val="2"/>
          <w14:ligatures w14:val="standardContextual"/>
        </w:rPr>
        <w:t>such as refining and processing of critical minerals, renewable hydrogen</w:t>
      </w:r>
      <w:r w:rsidR="003125EA" w:rsidRPr="00F247E3">
        <w:rPr>
          <w:rFonts w:ascii="Calibri" w:eastAsia="Calibri" w:hAnsi="Calibri" w:cs="Arial"/>
          <w:kern w:val="2"/>
          <w14:ligatures w14:val="standardContextual"/>
        </w:rPr>
        <w:t>,</w:t>
      </w:r>
      <w:r w:rsidRPr="00F247E3">
        <w:rPr>
          <w:rFonts w:ascii="Calibri" w:eastAsia="Calibri" w:hAnsi="Calibri" w:cs="Arial"/>
          <w:kern w:val="2"/>
          <w14:ligatures w14:val="standardContextual"/>
        </w:rPr>
        <w:t xml:space="preserve"> and green metals.</w:t>
      </w:r>
      <w:r w:rsidRPr="0005492B">
        <w:rPr>
          <w:rFonts w:ascii="Calibri" w:eastAsia="Calibri" w:hAnsi="Calibri" w:cs="Arial"/>
          <w:kern w:val="2"/>
          <w14:ligatures w14:val="standardContextual"/>
        </w:rPr>
        <w:t xml:space="preserve"> The quantum</w:t>
      </w:r>
      <w:r w:rsidR="00B63070">
        <w:rPr>
          <w:rFonts w:ascii="Calibri" w:eastAsia="Calibri" w:hAnsi="Calibri" w:cs="Arial"/>
          <w:kern w:val="2"/>
          <w14:ligatures w14:val="standardContextual"/>
        </w:rPr>
        <w:t xml:space="preserve"> technologies</w:t>
      </w:r>
      <w:r w:rsidRPr="0005492B">
        <w:rPr>
          <w:rFonts w:ascii="Calibri" w:eastAsia="Calibri" w:hAnsi="Calibri" w:cs="Arial"/>
          <w:kern w:val="2"/>
          <w14:ligatures w14:val="standardContextual"/>
        </w:rPr>
        <w:t>, artificial intelligence</w:t>
      </w:r>
      <w:r w:rsidR="003125EA">
        <w:rPr>
          <w:rFonts w:ascii="Calibri" w:eastAsia="Calibri" w:hAnsi="Calibri" w:cs="Arial"/>
          <w:kern w:val="2"/>
          <w14:ligatures w14:val="standardContextual"/>
        </w:rPr>
        <w:t>,</w:t>
      </w:r>
      <w:r w:rsidRPr="0005492B">
        <w:rPr>
          <w:rFonts w:ascii="Calibri" w:eastAsia="Calibri" w:hAnsi="Calibri" w:cs="Arial"/>
          <w:kern w:val="2"/>
          <w14:ligatures w14:val="standardContextual"/>
        </w:rPr>
        <w:t xml:space="preserve"> and advanced manufacturing AEA focus areas will deliver enabling capabilities with cross-sectoral application across all </w:t>
      </w:r>
      <w:r w:rsidRPr="44E401C6">
        <w:rPr>
          <w:rFonts w:ascii="Calibri" w:eastAsia="Calibri" w:hAnsi="Calibri" w:cs="Arial"/>
        </w:rPr>
        <w:t>G</w:t>
      </w:r>
      <w:r w:rsidR="007E22C2" w:rsidRPr="00B83688">
        <w:rPr>
          <w:rFonts w:ascii="Calibri" w:eastAsia="Calibri" w:hAnsi="Calibri" w:cs="Arial"/>
        </w:rPr>
        <w:t>overnment identified</w:t>
      </w:r>
      <w:r w:rsidRPr="0005492B">
        <w:rPr>
          <w:rFonts w:ascii="Calibri" w:eastAsia="Calibri" w:hAnsi="Calibri" w:cs="Arial"/>
          <w:kern w:val="2"/>
          <w14:ligatures w14:val="standardContextual"/>
        </w:rPr>
        <w:t xml:space="preserve"> priority </w:t>
      </w:r>
      <w:r w:rsidR="007E22C2" w:rsidRPr="1D73B27F">
        <w:rPr>
          <w:rFonts w:ascii="Calibri" w:eastAsia="Calibri" w:hAnsi="Calibri" w:cs="Arial"/>
        </w:rPr>
        <w:t>areas</w:t>
      </w:r>
      <w:r w:rsidR="004B1DDC">
        <w:rPr>
          <w:rFonts w:ascii="Calibri" w:eastAsia="Calibri" w:hAnsi="Calibri" w:cs="Arial"/>
        </w:rPr>
        <w:t xml:space="preserve"> of the economy</w:t>
      </w:r>
      <w:r w:rsidRPr="145D6E82">
        <w:rPr>
          <w:rFonts w:ascii="Calibri" w:eastAsia="Calibri" w:hAnsi="Calibri" w:cs="Arial"/>
        </w:rPr>
        <w:t>.</w:t>
      </w:r>
    </w:p>
    <w:p w14:paraId="53650FD9" w14:textId="7C6FB106" w:rsidR="001A3F5C" w:rsidRPr="007E554D" w:rsidRDefault="001A3F5C" w:rsidP="194E0316">
      <w:pPr>
        <w:spacing w:after="0"/>
        <w:rPr>
          <w:rFonts w:ascii="Calibri" w:eastAsia="Calibri" w:hAnsi="Calibri" w:cs="Calibri"/>
        </w:rPr>
      </w:pPr>
    </w:p>
    <w:p w14:paraId="527F3132" w14:textId="7CA2D248" w:rsidR="00B75985" w:rsidRDefault="2F79E1E0" w:rsidP="00C91929">
      <w:pPr>
        <w:spacing w:after="160"/>
        <w:rPr>
          <w:rFonts w:ascii="Calibri" w:eastAsia="Calibri" w:hAnsi="Calibri" w:cs="Arial"/>
          <w:kern w:val="2"/>
          <w14:ligatures w14:val="standardContextual"/>
        </w:rPr>
      </w:pPr>
      <w:r w:rsidRPr="005A2F99">
        <w:rPr>
          <w:rFonts w:ascii="Calibri" w:eastAsia="Calibri" w:hAnsi="Calibri" w:cs="Calibri"/>
          <w:color w:val="000000" w:themeColor="text1"/>
        </w:rPr>
        <w:t xml:space="preserve">These areas were selected </w:t>
      </w:r>
      <w:r w:rsidR="281F9129" w:rsidRPr="005A2F99">
        <w:rPr>
          <w:rFonts w:ascii="Calibri" w:eastAsia="Calibri" w:hAnsi="Calibri" w:cs="Calibri"/>
          <w:color w:val="000000" w:themeColor="text1"/>
        </w:rPr>
        <w:t xml:space="preserve">from </w:t>
      </w:r>
      <w:r w:rsidRPr="005A2F99">
        <w:rPr>
          <w:rFonts w:ascii="Calibri" w:eastAsia="Calibri" w:hAnsi="Calibri" w:cs="Calibri"/>
          <w:color w:val="000000" w:themeColor="text1"/>
        </w:rPr>
        <w:t xml:space="preserve">a broader list of opportunities derived </w:t>
      </w:r>
      <w:r w:rsidR="2D5267DC" w:rsidRPr="005A2F99">
        <w:rPr>
          <w:rFonts w:ascii="Calibri" w:eastAsia="Calibri" w:hAnsi="Calibri" w:cs="Calibri"/>
          <w:color w:val="000000" w:themeColor="text1"/>
        </w:rPr>
        <w:t>through</w:t>
      </w:r>
      <w:r w:rsidR="52BAB207" w:rsidRPr="005A2F99">
        <w:rPr>
          <w:rFonts w:ascii="Calibri" w:eastAsia="Calibri" w:hAnsi="Calibri" w:cs="Calibri"/>
          <w:color w:val="000000" w:themeColor="text1"/>
        </w:rPr>
        <w:t xml:space="preserve"> </w:t>
      </w:r>
      <w:r w:rsidR="3B775C4C" w:rsidRPr="005A2F99">
        <w:rPr>
          <w:rFonts w:ascii="Calibri" w:eastAsia="Calibri" w:hAnsi="Calibri" w:cs="Calibri"/>
          <w:color w:val="000000" w:themeColor="text1"/>
        </w:rPr>
        <w:t xml:space="preserve">a scan of </w:t>
      </w:r>
      <w:r w:rsidRPr="005A2F99">
        <w:rPr>
          <w:rFonts w:ascii="Calibri" w:eastAsia="Calibri" w:hAnsi="Calibri" w:cs="Calibri"/>
          <w:color w:val="000000" w:themeColor="text1"/>
        </w:rPr>
        <w:t xml:space="preserve">policy documents, strategies, roadmaps, and national priorities or </w:t>
      </w:r>
      <w:r w:rsidR="00342BEB" w:rsidRPr="005A2F99">
        <w:rPr>
          <w:rFonts w:ascii="Calibri" w:eastAsia="Calibri" w:hAnsi="Calibri" w:cs="Calibri"/>
          <w:color w:val="000000" w:themeColor="text1"/>
        </w:rPr>
        <w:t>missions, consideration</w:t>
      </w:r>
      <w:r w:rsidRPr="005A2F99">
        <w:rPr>
          <w:rFonts w:ascii="Calibri" w:eastAsia="Calibri" w:hAnsi="Calibri" w:cs="Calibri"/>
          <w:color w:val="000000" w:themeColor="text1"/>
        </w:rPr>
        <w:t xml:space="preserve"> of domestic and international technology </w:t>
      </w:r>
      <w:proofErr w:type="spellStart"/>
      <w:r w:rsidR="00BE5976" w:rsidRPr="005A2F99">
        <w:rPr>
          <w:rFonts w:ascii="Calibri" w:eastAsia="Calibri" w:hAnsi="Calibri" w:cs="Calibri"/>
          <w:color w:val="000000" w:themeColor="text1"/>
        </w:rPr>
        <w:t>foresighting</w:t>
      </w:r>
      <w:proofErr w:type="spellEnd"/>
      <w:r w:rsidRPr="005A2F99">
        <w:rPr>
          <w:rFonts w:ascii="Calibri" w:eastAsia="Calibri" w:hAnsi="Calibri" w:cs="Calibri"/>
          <w:color w:val="000000" w:themeColor="text1"/>
        </w:rPr>
        <w:t xml:space="preserve"> frameworks</w:t>
      </w:r>
      <w:r w:rsidR="003125EA">
        <w:rPr>
          <w:rFonts w:ascii="Calibri" w:eastAsia="Calibri" w:hAnsi="Calibri" w:cs="Calibri"/>
          <w:color w:val="000000" w:themeColor="text1"/>
        </w:rPr>
        <w:t>,</w:t>
      </w:r>
      <w:r w:rsidR="5CA45393" w:rsidRPr="005A2F99">
        <w:rPr>
          <w:rFonts w:ascii="Calibri" w:eastAsia="Calibri" w:hAnsi="Calibri" w:cs="Calibri"/>
          <w:color w:val="000000" w:themeColor="text1"/>
        </w:rPr>
        <w:t xml:space="preserve"> and analysis of associated data</w:t>
      </w:r>
      <w:r w:rsidRPr="005A2F99">
        <w:rPr>
          <w:rFonts w:ascii="Calibri" w:eastAsia="Calibri" w:hAnsi="Calibri" w:cs="Calibri"/>
          <w:color w:val="000000" w:themeColor="text1"/>
        </w:rPr>
        <w:t xml:space="preserve">. </w:t>
      </w:r>
      <w:r w:rsidR="001274FD" w:rsidRPr="005A2F99">
        <w:rPr>
          <w:rFonts w:ascii="Calibri" w:eastAsia="Calibri" w:hAnsi="Calibri" w:cs="Arial"/>
          <w:kern w:val="2"/>
          <w14:ligatures w14:val="standardContextual"/>
        </w:rPr>
        <w:t>It</w:t>
      </w:r>
      <w:r w:rsidR="001274FD">
        <w:rPr>
          <w:rFonts w:ascii="Calibri" w:eastAsia="Calibri" w:hAnsi="Calibri" w:cs="Arial"/>
          <w:kern w:val="2"/>
          <w14:ligatures w14:val="standardContextual"/>
        </w:rPr>
        <w:t xml:space="preserve"> is important to note that these 6 focus areas do not represent an end state. </w:t>
      </w:r>
      <w:r w:rsidR="0005492B" w:rsidRPr="0005492B">
        <w:rPr>
          <w:rFonts w:ascii="Calibri" w:eastAsia="Calibri" w:hAnsi="Calibri" w:cs="Arial"/>
          <w:kern w:val="2"/>
          <w14:ligatures w14:val="standardContextual"/>
        </w:rPr>
        <w:t>Given the increasingly interdisciplinary nature of modern research and rapidly changing nature of the technological landscape, ongoing monitoring and evaluation of future opportunities will be undertaken by the Board</w:t>
      </w:r>
      <w:r w:rsidR="0021683B">
        <w:rPr>
          <w:rFonts w:ascii="Calibri" w:eastAsia="Calibri" w:hAnsi="Calibri" w:cs="Arial"/>
          <w:kern w:val="2"/>
          <w14:ligatures w14:val="standardContextual"/>
        </w:rPr>
        <w:t xml:space="preserve"> to </w:t>
      </w:r>
      <w:r w:rsidR="001A3F5C" w:rsidRPr="007E554D">
        <w:rPr>
          <w:rFonts w:ascii="Calibri" w:eastAsia="Calibri" w:hAnsi="Calibri" w:cs="Arial"/>
          <w:kern w:val="2"/>
          <w14:ligatures w14:val="standardContextual"/>
        </w:rPr>
        <w:t>ensure the program is responsive to developments in the research and industry sectors.</w:t>
      </w:r>
    </w:p>
    <w:p w14:paraId="78818F07" w14:textId="52315B74" w:rsidR="00F11702" w:rsidRDefault="00F11702" w:rsidP="00C91929">
      <w:pPr>
        <w:spacing w:after="160"/>
        <w:rPr>
          <w:rFonts w:ascii="Calibri" w:eastAsia="Calibri" w:hAnsi="Calibri" w:cs="Arial"/>
          <w:kern w:val="2"/>
          <w14:ligatures w14:val="standardContextual"/>
        </w:rPr>
      </w:pPr>
      <w:r>
        <w:rPr>
          <w:rFonts w:ascii="Calibri" w:eastAsia="Calibri" w:hAnsi="Calibri" w:cs="Arial"/>
          <w:kern w:val="2"/>
          <w14:ligatures w14:val="standardContextual"/>
        </w:rPr>
        <w:br w:type="page"/>
      </w:r>
    </w:p>
    <w:p w14:paraId="6645E661" w14:textId="6BEA0344" w:rsidR="00AD1263" w:rsidRPr="0084025F" w:rsidRDefault="0084025F" w:rsidP="0084025F">
      <w:pPr>
        <w:spacing w:after="160"/>
        <w:jc w:val="center"/>
      </w:pPr>
      <w:r w:rsidRPr="00E22549">
        <w:rPr>
          <w:noProof/>
        </w:rPr>
        <w:lastRenderedPageBreak/>
        <mc:AlternateContent>
          <mc:Choice Requires="wps">
            <w:drawing>
              <wp:anchor distT="45720" distB="45720" distL="114300" distR="114300" simplePos="0" relativeHeight="251658241" behindDoc="1" locked="0" layoutInCell="1" allowOverlap="1" wp14:anchorId="7F40697F" wp14:editId="0CB5E66F">
                <wp:simplePos x="0" y="0"/>
                <wp:positionH relativeFrom="margin">
                  <wp:posOffset>-257175</wp:posOffset>
                </wp:positionH>
                <wp:positionV relativeFrom="paragraph">
                  <wp:posOffset>-120820</wp:posOffset>
                </wp:positionV>
                <wp:extent cx="6219825" cy="8963025"/>
                <wp:effectExtent l="0" t="0" r="28575" b="28575"/>
                <wp:wrapNone/>
                <wp:docPr id="21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219825" cy="8963025"/>
                        </a:xfrm>
                        <a:prstGeom prst="rect">
                          <a:avLst/>
                        </a:prstGeom>
                        <a:solidFill>
                          <a:schemeClr val="bg2">
                            <a:lumMod val="40000"/>
                            <a:lumOff val="60000"/>
                          </a:schemeClr>
                        </a:solidFill>
                        <a:ln w="19050">
                          <a:solidFill>
                            <a:schemeClr val="bg2">
                              <a:lumMod val="50000"/>
                            </a:schemeClr>
                          </a:solidFill>
                          <a:miter/>
                        </a:ln>
                      </wps:spPr>
                      <wps:txbx>
                        <w:txbxContent>
                          <w:p w14:paraId="1B577CCD" w14:textId="25B48DB8" w:rsidR="00EF1931" w:rsidRDefault="00EF1931" w:rsidP="002C1AA1">
                            <w:pPr>
                              <w:spacing w:line="254" w:lineRule="auto"/>
                              <w:ind w:left="720"/>
                              <w:rPr>
                                <w:rFonts w:ascii="Calibri" w:hAnsi="Calibri" w:cs="Calibri"/>
                                <w:lang w:val="en-US"/>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F40697F" id="Rectangle 217" o:spid="_x0000_s1026" style="position:absolute;left:0;text-align:left;margin-left:-20.25pt;margin-top:-9.5pt;width:489.75pt;height:705.7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" fillcolor="#badfc6 [1310]" strokecolor="#285837 [1614]" strokeweight="1.5pt">
                <v:textbox>
                  <w:txbxContent>
                    <w:p w14:paraId="1B577CCD" w14:textId="25B48DB8" w:rsidR="00EF1931" w:rsidRDefault="00EF1931" w:rsidP="002C1AA1">
                      <w:pPr>
                        <w:spacing w:line="254" w:lineRule="auto"/>
                        <w:ind w:left="720"/>
                        <w:rPr>
                          <w:rFonts w:ascii="Calibri" w:hAnsi="Calibri" w:cs="Calibri"/>
                          <w:lang w:val="en-US"/>
                        </w:rPr>
                      </w:pPr>
                    </w:p>
                  </w:txbxContent>
                </v:textbox>
                <w10:wrap anchorx="margin"/>
              </v:rect>
            </w:pict>
          </mc:Fallback>
        </mc:AlternateContent>
      </w:r>
      <w:r w:rsidR="00AD1263" w:rsidRPr="00E22549">
        <w:rPr>
          <w:rFonts w:ascii="Calibri" w:hAnsi="Calibri" w:cs="Calibri"/>
          <w:b/>
          <w:bCs/>
          <w:sz w:val="32"/>
          <w:szCs w:val="32"/>
          <w:lang w:val="en-US"/>
        </w:rPr>
        <w:t>AEA Focus Areas</w:t>
      </w:r>
      <w:r w:rsidR="001B52E4" w:rsidRPr="00E22549">
        <w:rPr>
          <w:rFonts w:ascii="Calibri" w:hAnsi="Calibri" w:cs="Calibri"/>
          <w:b/>
          <w:bCs/>
          <w:sz w:val="32"/>
          <w:szCs w:val="32"/>
          <w:lang w:val="en-US"/>
        </w:rPr>
        <w:t xml:space="preserve"> (2024-25)</w:t>
      </w:r>
    </w:p>
    <w:p w14:paraId="22A41439" w14:textId="449A95B8" w:rsidR="00AD1263" w:rsidRDefault="00AD1263" w:rsidP="00835D4B">
      <w:pPr>
        <w:spacing w:after="0" w:line="254" w:lineRule="auto"/>
        <w:rPr>
          <w:rFonts w:ascii="Calibri" w:hAnsi="Calibri" w:cs="Calibri"/>
          <w:b/>
          <w:bCs/>
          <w:sz w:val="28"/>
          <w:szCs w:val="28"/>
          <w:lang w:val="en-US"/>
        </w:rPr>
      </w:pPr>
      <w:r>
        <w:rPr>
          <w:rFonts w:ascii="Calibri" w:hAnsi="Calibri" w:cs="Calibri"/>
          <w:b/>
          <w:bCs/>
          <w:sz w:val="28"/>
          <w:szCs w:val="28"/>
          <w:lang w:val="en-US"/>
        </w:rPr>
        <w:t xml:space="preserve">Critical and </w:t>
      </w:r>
      <w:r w:rsidR="00264676">
        <w:rPr>
          <w:rFonts w:ascii="Calibri" w:hAnsi="Calibri" w:cs="Calibri"/>
          <w:b/>
          <w:bCs/>
          <w:sz w:val="28"/>
          <w:szCs w:val="28"/>
          <w:lang w:val="en-US"/>
        </w:rPr>
        <w:t>strategic minerals processing</w:t>
      </w:r>
    </w:p>
    <w:p w14:paraId="1FF6EED5" w14:textId="5612D426" w:rsidR="00E22549" w:rsidRDefault="00E22549" w:rsidP="00944054">
      <w:pPr>
        <w:spacing w:after="60" w:line="254" w:lineRule="auto"/>
        <w:rPr>
          <w:rFonts w:ascii="Calibri" w:hAnsi="Calibri" w:cs="Calibri"/>
          <w:b/>
          <w:bCs/>
          <w:lang w:val="en-US"/>
        </w:rPr>
      </w:pPr>
      <w:r w:rsidRPr="00944054">
        <w:rPr>
          <w:rFonts w:ascii="Calibri" w:hAnsi="Calibri" w:cs="Calibri"/>
        </w:rPr>
        <w:t>(</w:t>
      </w:r>
      <w:r>
        <w:rPr>
          <w:rFonts w:ascii="Calibri" w:hAnsi="Calibri" w:cs="Calibri"/>
          <w:i/>
          <w:iCs/>
        </w:rPr>
        <w:t>s</w:t>
      </w:r>
      <w:r w:rsidRPr="00FE76C0">
        <w:rPr>
          <w:rFonts w:ascii="Calibri" w:hAnsi="Calibri" w:cs="Calibri"/>
          <w:i/>
          <w:iCs/>
        </w:rPr>
        <w:t>upports</w:t>
      </w:r>
      <w:r w:rsidRPr="00992563">
        <w:rPr>
          <w:rFonts w:ascii="Calibri" w:hAnsi="Calibri" w:cs="Calibri"/>
          <w:i/>
          <w:iCs/>
        </w:rPr>
        <w:t xml:space="preserve"> the</w:t>
      </w:r>
      <w:r w:rsidRPr="00FE76C0">
        <w:rPr>
          <w:rFonts w:ascii="Calibri" w:hAnsi="Calibri" w:cs="Calibri"/>
          <w:i/>
          <w:iCs/>
        </w:rPr>
        <w:t xml:space="preserve"> </w:t>
      </w:r>
      <w:r w:rsidR="00976643">
        <w:rPr>
          <w:rFonts w:ascii="Calibri" w:hAnsi="Calibri" w:cs="Calibri"/>
          <w:i/>
          <w:iCs/>
        </w:rPr>
        <w:t>v</w:t>
      </w:r>
      <w:r w:rsidRPr="00FE76C0">
        <w:rPr>
          <w:rFonts w:ascii="Calibri" w:hAnsi="Calibri" w:cs="Calibri"/>
          <w:i/>
          <w:iCs/>
        </w:rPr>
        <w:t xml:space="preserve">alue-add in resources </w:t>
      </w:r>
      <w:r w:rsidR="00976643">
        <w:rPr>
          <w:rFonts w:ascii="Calibri" w:hAnsi="Calibri" w:cs="Calibri"/>
          <w:i/>
          <w:iCs/>
        </w:rPr>
        <w:t>g</w:t>
      </w:r>
      <w:r w:rsidRPr="00FE76C0">
        <w:rPr>
          <w:rFonts w:ascii="Calibri" w:hAnsi="Calibri" w:cs="Calibri"/>
          <w:i/>
          <w:iCs/>
        </w:rPr>
        <w:t>overnment</w:t>
      </w:r>
      <w:r w:rsidR="00C625A1">
        <w:rPr>
          <w:rFonts w:ascii="Calibri" w:hAnsi="Calibri" w:cs="Calibri"/>
          <w:i/>
          <w:iCs/>
        </w:rPr>
        <w:t xml:space="preserve"> identified</w:t>
      </w:r>
      <w:r w:rsidRPr="00FE76C0">
        <w:rPr>
          <w:rFonts w:ascii="Calibri" w:hAnsi="Calibri" w:cs="Calibri"/>
          <w:i/>
          <w:iCs/>
        </w:rPr>
        <w:t xml:space="preserve"> priority</w:t>
      </w:r>
      <w:r w:rsidRPr="00992563">
        <w:rPr>
          <w:rFonts w:ascii="Calibri" w:hAnsi="Calibri" w:cs="Calibri"/>
          <w:i/>
          <w:iCs/>
        </w:rPr>
        <w:t xml:space="preserve"> area</w:t>
      </w:r>
      <w:r w:rsidRPr="00944054">
        <w:rPr>
          <w:rFonts w:ascii="Calibri" w:hAnsi="Calibri" w:cs="Calibri"/>
        </w:rPr>
        <w:t>)</w:t>
      </w:r>
    </w:p>
    <w:p w14:paraId="7F003F9C" w14:textId="63E232E0" w:rsidR="006F5BB7" w:rsidRPr="00944054" w:rsidRDefault="008D6A9A" w:rsidP="03C974F0">
      <w:pPr>
        <w:pStyle w:val="NormalWeb"/>
        <w:spacing w:before="0" w:beforeAutospacing="0" w:after="120" w:afterAutospacing="0"/>
        <w:rPr>
          <w:rFonts w:ascii="Calibri" w:hAnsi="Calibri" w:cs="Calibri"/>
          <w:i/>
          <w:iCs/>
          <w:sz w:val="22"/>
          <w:szCs w:val="22"/>
        </w:rPr>
      </w:pPr>
      <w:r w:rsidRPr="03C974F0">
        <w:rPr>
          <w:rFonts w:ascii="Calibri" w:hAnsi="Calibri" w:cs="Calibri"/>
          <w:sz w:val="22"/>
          <w:szCs w:val="22"/>
        </w:rPr>
        <w:t>Technologies which enable the transition from mineral to material, namely processing and early value chain manufacturing techniques utilising mineral inputs deemed critical or strategic to the national interest. This includes technologies to enable exploration, low environmental impact extraction and processing of minerals, especially those needed for the energy transition like copper, new and sustainable value-add opportunities in green metals, novel and high purity refining methods for minerals like lithium and silicon, and other technologies to improve mineral recovery and processing efficiency.</w:t>
      </w:r>
    </w:p>
    <w:p w14:paraId="5A74984C" w14:textId="59A9B707" w:rsidR="00AD1263" w:rsidRDefault="00AD1263" w:rsidP="00944054">
      <w:pPr>
        <w:spacing w:after="0" w:line="254" w:lineRule="auto"/>
        <w:rPr>
          <w:rFonts w:ascii="Calibri" w:hAnsi="Calibri" w:cs="Calibri"/>
          <w:b/>
          <w:bCs/>
          <w:sz w:val="28"/>
          <w:szCs w:val="28"/>
          <w:lang w:val="en-US"/>
        </w:rPr>
      </w:pPr>
      <w:r>
        <w:rPr>
          <w:rFonts w:ascii="Calibri" w:hAnsi="Calibri" w:cs="Calibri"/>
          <w:b/>
          <w:bCs/>
          <w:sz w:val="28"/>
          <w:szCs w:val="28"/>
          <w:lang w:val="en-US"/>
        </w:rPr>
        <w:t xml:space="preserve">Sustainable </w:t>
      </w:r>
      <w:r w:rsidR="00264676">
        <w:rPr>
          <w:rFonts w:ascii="Calibri" w:hAnsi="Calibri" w:cs="Calibri"/>
          <w:b/>
          <w:bCs/>
          <w:sz w:val="28"/>
          <w:szCs w:val="28"/>
          <w:lang w:val="en-US"/>
        </w:rPr>
        <w:t>f</w:t>
      </w:r>
      <w:r>
        <w:rPr>
          <w:rFonts w:ascii="Calibri" w:hAnsi="Calibri" w:cs="Calibri"/>
          <w:b/>
          <w:bCs/>
          <w:sz w:val="28"/>
          <w:szCs w:val="28"/>
          <w:lang w:val="en-US"/>
        </w:rPr>
        <w:t>uels</w:t>
      </w:r>
    </w:p>
    <w:p w14:paraId="076AAE91" w14:textId="5661ED8E" w:rsidR="00E22549" w:rsidRDefault="00E22549" w:rsidP="00944054">
      <w:pPr>
        <w:pStyle w:val="NormalWeb"/>
        <w:spacing w:before="0" w:beforeAutospacing="0" w:after="60" w:afterAutospacing="0"/>
        <w:jc w:val="both"/>
        <w:rPr>
          <w:rFonts w:ascii="Calibri" w:hAnsi="Calibri" w:cs="Calibri"/>
          <w:i/>
          <w:iCs/>
          <w:sz w:val="22"/>
          <w:szCs w:val="22"/>
        </w:rPr>
      </w:pPr>
      <w:r w:rsidRPr="00944054">
        <w:rPr>
          <w:rFonts w:ascii="Calibri" w:hAnsi="Calibri" w:cs="Calibri"/>
          <w:sz w:val="22"/>
          <w:szCs w:val="22"/>
        </w:rPr>
        <w:t>(</w:t>
      </w:r>
      <w:r w:rsidRPr="009A06EF">
        <w:rPr>
          <w:rFonts w:ascii="Calibri" w:hAnsi="Calibri" w:cs="Calibri"/>
          <w:i/>
          <w:iCs/>
          <w:sz w:val="22"/>
          <w:szCs w:val="22"/>
        </w:rPr>
        <w:t xml:space="preserve">supports the </w:t>
      </w:r>
      <w:r w:rsidR="00976643">
        <w:rPr>
          <w:rFonts w:ascii="Calibri" w:hAnsi="Calibri" w:cs="Calibri"/>
          <w:i/>
          <w:iCs/>
          <w:sz w:val="22"/>
          <w:szCs w:val="22"/>
        </w:rPr>
        <w:t>r</w:t>
      </w:r>
      <w:r w:rsidR="00B87606" w:rsidRPr="00B87606">
        <w:rPr>
          <w:rFonts w:ascii="Calibri" w:hAnsi="Calibri" w:cs="Calibri"/>
          <w:i/>
          <w:iCs/>
          <w:sz w:val="22"/>
          <w:szCs w:val="22"/>
        </w:rPr>
        <w:t>enewables and low emissions technologies</w:t>
      </w:r>
      <w:r w:rsidRPr="009A06EF">
        <w:rPr>
          <w:rFonts w:ascii="Calibri" w:hAnsi="Calibri" w:cs="Calibri"/>
          <w:i/>
          <w:iCs/>
          <w:sz w:val="22"/>
          <w:szCs w:val="22"/>
        </w:rPr>
        <w:t xml:space="preserve">, </w:t>
      </w:r>
      <w:r w:rsidR="00976643">
        <w:rPr>
          <w:rFonts w:ascii="Calibri" w:hAnsi="Calibri" w:cs="Calibri"/>
          <w:i/>
          <w:iCs/>
          <w:sz w:val="22"/>
          <w:szCs w:val="22"/>
        </w:rPr>
        <w:t>t</w:t>
      </w:r>
      <w:r w:rsidRPr="009A06EF">
        <w:rPr>
          <w:rFonts w:ascii="Calibri" w:hAnsi="Calibri" w:cs="Calibri"/>
          <w:i/>
          <w:iCs/>
          <w:sz w:val="22"/>
          <w:szCs w:val="22"/>
        </w:rPr>
        <w:t xml:space="preserve">ransport and </w:t>
      </w:r>
      <w:r w:rsidR="00976643">
        <w:rPr>
          <w:rFonts w:ascii="Calibri" w:hAnsi="Calibri" w:cs="Calibri"/>
          <w:i/>
          <w:iCs/>
          <w:sz w:val="22"/>
          <w:szCs w:val="22"/>
        </w:rPr>
        <w:t>v</w:t>
      </w:r>
      <w:r w:rsidRPr="009A06EF">
        <w:rPr>
          <w:rFonts w:ascii="Calibri" w:hAnsi="Calibri" w:cs="Calibri"/>
          <w:i/>
          <w:iCs/>
          <w:sz w:val="22"/>
          <w:szCs w:val="22"/>
        </w:rPr>
        <w:t xml:space="preserve">alue-add in agriculture, forestry and fisheries </w:t>
      </w:r>
      <w:r w:rsidR="00976643">
        <w:rPr>
          <w:rFonts w:ascii="Calibri" w:hAnsi="Calibri" w:cs="Calibri"/>
          <w:i/>
          <w:iCs/>
          <w:sz w:val="22"/>
          <w:szCs w:val="22"/>
        </w:rPr>
        <w:t>g</w:t>
      </w:r>
      <w:r w:rsidRPr="009A06EF">
        <w:rPr>
          <w:rFonts w:ascii="Calibri" w:hAnsi="Calibri" w:cs="Calibri"/>
          <w:i/>
          <w:iCs/>
          <w:sz w:val="22"/>
          <w:szCs w:val="22"/>
        </w:rPr>
        <w:t>overnment</w:t>
      </w:r>
      <w:r w:rsidR="00C625A1">
        <w:rPr>
          <w:rFonts w:ascii="Calibri" w:hAnsi="Calibri" w:cs="Calibri"/>
          <w:i/>
          <w:iCs/>
          <w:sz w:val="22"/>
          <w:szCs w:val="22"/>
        </w:rPr>
        <w:t xml:space="preserve"> identified</w:t>
      </w:r>
      <w:r w:rsidRPr="009A06EF">
        <w:rPr>
          <w:rFonts w:ascii="Calibri" w:hAnsi="Calibri" w:cs="Calibri"/>
          <w:i/>
          <w:iCs/>
          <w:sz w:val="22"/>
          <w:szCs w:val="22"/>
        </w:rPr>
        <w:t xml:space="preserve"> priority area</w:t>
      </w:r>
      <w:r w:rsidR="00B87606">
        <w:rPr>
          <w:rFonts w:ascii="Calibri" w:hAnsi="Calibri" w:cs="Calibri"/>
          <w:i/>
          <w:iCs/>
          <w:sz w:val="22"/>
          <w:szCs w:val="22"/>
        </w:rPr>
        <w:t>s</w:t>
      </w:r>
      <w:r w:rsidRPr="00944054">
        <w:rPr>
          <w:rFonts w:ascii="Calibri" w:hAnsi="Calibri" w:cs="Calibri"/>
          <w:sz w:val="22"/>
          <w:szCs w:val="22"/>
        </w:rPr>
        <w:t>)</w:t>
      </w:r>
    </w:p>
    <w:p w14:paraId="01F0EED4" w14:textId="465B912E" w:rsidR="004E79E1" w:rsidRPr="0084025F" w:rsidRDefault="005D44A6" w:rsidP="00CF7E2A">
      <w:pPr>
        <w:pStyle w:val="NormalWeb"/>
        <w:spacing w:before="0" w:beforeAutospacing="0" w:after="120" w:afterAutospacing="0"/>
        <w:rPr>
          <w:rFonts w:asciiTheme="minorHAnsi" w:hAnsiTheme="minorHAnsi" w:cstheme="minorBidi"/>
          <w:i/>
          <w:iCs/>
          <w:noProof/>
          <w:sz w:val="22"/>
          <w:szCs w:val="22"/>
        </w:rPr>
      </w:pPr>
      <w:r w:rsidRPr="03C974F0">
        <w:rPr>
          <w:rFonts w:ascii="Calibri" w:eastAsiaTheme="minorEastAsia" w:hAnsi="Calibri" w:cs="Calibri"/>
          <w:kern w:val="2"/>
          <w:sz w:val="22"/>
          <w:szCs w:val="22"/>
          <w:lang w:val="en-US" w:eastAsia="en-US"/>
          <w14:ligatures w14:val="standardContextual"/>
        </w:rPr>
        <w:t>Renewable energy carriers and fuels for transport and industrial uses which present sustainability benefits (primarily, quantifiable emissions reductions) when compared to traditional sources</w:t>
      </w:r>
      <w:r w:rsidR="0096426C">
        <w:rPr>
          <w:rFonts w:ascii="Calibri" w:eastAsiaTheme="minorEastAsia" w:hAnsi="Calibri" w:cs="Calibri"/>
          <w:kern w:val="2"/>
          <w:sz w:val="22"/>
          <w:szCs w:val="22"/>
          <w:lang w:val="en-US" w:eastAsia="en-US"/>
          <w14:ligatures w14:val="standardContextual"/>
        </w:rPr>
        <w:t>.</w:t>
      </w:r>
      <w:r w:rsidR="00924EFA">
        <w:rPr>
          <w:rFonts w:ascii="Calibri" w:eastAsiaTheme="minorEastAsia" w:hAnsi="Calibri" w:cs="Calibri"/>
          <w:kern w:val="2"/>
          <w:sz w:val="22"/>
          <w:szCs w:val="22"/>
          <w:lang w:val="en-US" w:eastAsia="en-US"/>
          <w14:ligatures w14:val="standardContextual"/>
        </w:rPr>
        <w:t xml:space="preserve"> This includes</w:t>
      </w:r>
      <w:r w:rsidRPr="03C974F0">
        <w:rPr>
          <w:rFonts w:ascii="Calibri" w:eastAsiaTheme="minorEastAsia" w:hAnsi="Calibri" w:cs="Calibri"/>
          <w:kern w:val="2"/>
          <w:sz w:val="22"/>
          <w:szCs w:val="22"/>
          <w:lang w:val="en-US" w:eastAsia="en-US"/>
          <w14:ligatures w14:val="standardContextual"/>
        </w:rPr>
        <w:t xml:space="preserve"> particular focus on the production of renewable hydrogen and low carbon liquid fuels (including synthetic fuels such as drop-in sustainable aviation fuel (SAF) and production using existing waste streams)</w:t>
      </w:r>
      <w:r w:rsidR="006E6254">
        <w:rPr>
          <w:rFonts w:ascii="Calibri" w:eastAsiaTheme="minorEastAsia" w:hAnsi="Calibri" w:cs="Calibri"/>
          <w:kern w:val="2"/>
          <w:sz w:val="22"/>
          <w:szCs w:val="22"/>
          <w:lang w:val="en-US" w:eastAsia="en-US"/>
          <w14:ligatures w14:val="standardContextual"/>
        </w:rPr>
        <w:t xml:space="preserve">, </w:t>
      </w:r>
      <w:r w:rsidRPr="03C974F0">
        <w:rPr>
          <w:rFonts w:ascii="Calibri" w:eastAsiaTheme="minorEastAsia" w:hAnsi="Calibri" w:cs="Calibri"/>
          <w:kern w:val="2"/>
          <w:sz w:val="22"/>
          <w:szCs w:val="22"/>
          <w:lang w:val="en-US" w:eastAsia="en-US"/>
          <w14:ligatures w14:val="standardContextual"/>
        </w:rPr>
        <w:t>as well as innovations in the transport, storage, and industrial applications of these fuels, including in the processing of green metals.</w:t>
      </w:r>
    </w:p>
    <w:p w14:paraId="0F55BC17" w14:textId="41DD658E" w:rsidR="00AD1263" w:rsidRDefault="00AD1263" w:rsidP="00944054">
      <w:pPr>
        <w:spacing w:after="0" w:line="254" w:lineRule="auto"/>
        <w:rPr>
          <w:rFonts w:ascii="Calibri" w:hAnsi="Calibri" w:cs="Calibri"/>
          <w:b/>
          <w:bCs/>
          <w:sz w:val="28"/>
          <w:szCs w:val="28"/>
          <w:lang w:val="en-US"/>
        </w:rPr>
      </w:pPr>
      <w:r>
        <w:rPr>
          <w:rFonts w:ascii="Calibri" w:hAnsi="Calibri" w:cs="Calibri"/>
          <w:b/>
          <w:bCs/>
          <w:sz w:val="28"/>
          <w:szCs w:val="28"/>
          <w:lang w:val="en-US"/>
        </w:rPr>
        <w:t xml:space="preserve">Digital </w:t>
      </w:r>
      <w:r w:rsidR="00264676">
        <w:rPr>
          <w:rFonts w:ascii="Calibri" w:hAnsi="Calibri" w:cs="Calibri"/>
          <w:b/>
          <w:bCs/>
          <w:sz w:val="28"/>
          <w:szCs w:val="28"/>
          <w:lang w:val="en-US"/>
        </w:rPr>
        <w:t>a</w:t>
      </w:r>
      <w:r>
        <w:rPr>
          <w:rFonts w:ascii="Calibri" w:hAnsi="Calibri" w:cs="Calibri"/>
          <w:b/>
          <w:bCs/>
          <w:sz w:val="28"/>
          <w:szCs w:val="28"/>
          <w:lang w:val="en-US"/>
        </w:rPr>
        <w:t>griculture</w:t>
      </w:r>
    </w:p>
    <w:p w14:paraId="64E3B5C9" w14:textId="12F7E938" w:rsidR="00E22549" w:rsidRDefault="00E22549" w:rsidP="00944054">
      <w:pPr>
        <w:spacing w:after="60" w:line="254" w:lineRule="auto"/>
        <w:rPr>
          <w:rFonts w:ascii="Calibri" w:hAnsi="Calibri" w:cs="Calibri"/>
          <w:lang w:val="en-US"/>
        </w:rPr>
      </w:pPr>
      <w:r>
        <w:rPr>
          <w:rFonts w:ascii="Calibri" w:hAnsi="Calibri" w:cs="Calibri"/>
          <w:lang w:val="en-US"/>
        </w:rPr>
        <w:t>(</w:t>
      </w:r>
      <w:r>
        <w:rPr>
          <w:rFonts w:ascii="Calibri" w:hAnsi="Calibri" w:cs="Calibri"/>
          <w:i/>
          <w:iCs/>
          <w:lang w:val="en-US"/>
        </w:rPr>
        <w:t>s</w:t>
      </w:r>
      <w:r w:rsidRPr="00E81EAC">
        <w:rPr>
          <w:rFonts w:ascii="Calibri" w:hAnsi="Calibri" w:cs="Calibri"/>
          <w:i/>
          <w:iCs/>
          <w:lang w:val="en-US"/>
        </w:rPr>
        <w:t xml:space="preserve">upports the </w:t>
      </w:r>
      <w:r w:rsidR="00976643">
        <w:rPr>
          <w:rFonts w:ascii="Calibri" w:hAnsi="Calibri" w:cs="Calibri"/>
          <w:i/>
          <w:iCs/>
        </w:rPr>
        <w:t>va</w:t>
      </w:r>
      <w:r w:rsidRPr="00FE76C0">
        <w:rPr>
          <w:rFonts w:ascii="Calibri" w:hAnsi="Calibri" w:cs="Calibri"/>
          <w:i/>
          <w:iCs/>
        </w:rPr>
        <w:t>lue-add in agriculture, forestry and fisheries</w:t>
      </w:r>
      <w:r w:rsidRPr="00E81EAC">
        <w:rPr>
          <w:rFonts w:ascii="Calibri" w:hAnsi="Calibri" w:cs="Calibri"/>
          <w:i/>
          <w:iCs/>
        </w:rPr>
        <w:t xml:space="preserve"> </w:t>
      </w:r>
      <w:r w:rsidR="00976643">
        <w:rPr>
          <w:rFonts w:ascii="Calibri" w:hAnsi="Calibri" w:cs="Calibri"/>
          <w:i/>
          <w:iCs/>
        </w:rPr>
        <w:t>g</w:t>
      </w:r>
      <w:r w:rsidRPr="00E81EAC">
        <w:rPr>
          <w:rFonts w:ascii="Calibri" w:hAnsi="Calibri" w:cs="Calibri"/>
          <w:i/>
          <w:iCs/>
        </w:rPr>
        <w:t xml:space="preserve">overnment </w:t>
      </w:r>
      <w:r w:rsidR="00C625A1">
        <w:rPr>
          <w:rFonts w:ascii="Calibri" w:hAnsi="Calibri" w:cs="Calibri"/>
          <w:i/>
          <w:iCs/>
        </w:rPr>
        <w:t xml:space="preserve">identified </w:t>
      </w:r>
      <w:r w:rsidRPr="00E81EAC">
        <w:rPr>
          <w:rFonts w:ascii="Calibri" w:hAnsi="Calibri" w:cs="Calibri"/>
          <w:i/>
          <w:iCs/>
        </w:rPr>
        <w:t>priority area</w:t>
      </w:r>
      <w:r>
        <w:rPr>
          <w:rFonts w:ascii="Calibri" w:hAnsi="Calibri" w:cs="Calibri"/>
          <w:lang w:val="en-US"/>
        </w:rPr>
        <w:t>)</w:t>
      </w:r>
    </w:p>
    <w:p w14:paraId="36E34571" w14:textId="1702B8EC" w:rsidR="00835D4B" w:rsidRPr="00944054" w:rsidRDefault="00AD1263" w:rsidP="2C33536F">
      <w:pPr>
        <w:spacing w:line="254" w:lineRule="auto"/>
        <w:rPr>
          <w:rFonts w:ascii="Calibri" w:hAnsi="Calibri" w:cs="Calibri"/>
          <w:i/>
          <w:iCs/>
          <w:lang w:val="en-US"/>
        </w:rPr>
      </w:pPr>
      <w:r w:rsidRPr="2C33536F">
        <w:rPr>
          <w:rFonts w:ascii="Calibri" w:hAnsi="Calibri" w:cs="Calibri"/>
          <w:lang w:val="en-US"/>
        </w:rPr>
        <w:t xml:space="preserve">Applications of digital platforms and data-driven approaches </w:t>
      </w:r>
      <w:r w:rsidR="00924EFA" w:rsidRPr="2C33536F">
        <w:rPr>
          <w:rFonts w:ascii="Calibri" w:hAnsi="Calibri" w:cs="Calibri"/>
          <w:lang w:val="en-US"/>
        </w:rPr>
        <w:t xml:space="preserve">such as </w:t>
      </w:r>
      <w:r w:rsidRPr="2C33536F">
        <w:rPr>
          <w:rFonts w:ascii="Calibri" w:hAnsi="Calibri" w:cs="Calibri"/>
          <w:lang w:val="en-US"/>
        </w:rPr>
        <w:t>Internet of Things</w:t>
      </w:r>
      <w:r w:rsidR="00924EFA" w:rsidRPr="2C33536F">
        <w:rPr>
          <w:rFonts w:ascii="Calibri" w:hAnsi="Calibri" w:cs="Calibri"/>
          <w:lang w:val="en-US"/>
        </w:rPr>
        <w:t xml:space="preserve"> (IoT)</w:t>
      </w:r>
      <w:r w:rsidRPr="2C33536F">
        <w:rPr>
          <w:rFonts w:ascii="Calibri" w:hAnsi="Calibri" w:cs="Calibri"/>
          <w:lang w:val="en-US"/>
        </w:rPr>
        <w:t xml:space="preserve"> and precision agriculture, automation and robotics, prediction and modelling, remote observation and mapping, and other novel methods to increase value-add, optimi</w:t>
      </w:r>
      <w:r w:rsidR="00C60D3B" w:rsidRPr="2C33536F">
        <w:rPr>
          <w:rFonts w:ascii="Calibri" w:hAnsi="Calibri" w:cs="Calibri"/>
          <w:lang w:val="en-US"/>
        </w:rPr>
        <w:t>s</w:t>
      </w:r>
      <w:r w:rsidRPr="2C33536F">
        <w:rPr>
          <w:rFonts w:ascii="Calibri" w:hAnsi="Calibri" w:cs="Calibri"/>
          <w:lang w:val="en-US"/>
        </w:rPr>
        <w:t>e resource usage, and enhance Australia’s already outstanding reputation for producing safe</w:t>
      </w:r>
      <w:r w:rsidR="009C575D" w:rsidRPr="2C33536F">
        <w:rPr>
          <w:rFonts w:ascii="Calibri" w:hAnsi="Calibri" w:cs="Calibri"/>
          <w:lang w:val="en-US"/>
        </w:rPr>
        <w:t xml:space="preserve"> and </w:t>
      </w:r>
      <w:r w:rsidR="00692E8A" w:rsidRPr="2C33536F">
        <w:rPr>
          <w:rFonts w:ascii="Calibri" w:hAnsi="Calibri" w:cs="Calibri"/>
          <w:lang w:val="en-US"/>
        </w:rPr>
        <w:t>high-quality</w:t>
      </w:r>
      <w:r w:rsidRPr="2C33536F">
        <w:rPr>
          <w:rFonts w:ascii="Calibri" w:hAnsi="Calibri" w:cs="Calibri"/>
          <w:lang w:val="en-US"/>
        </w:rPr>
        <w:t xml:space="preserve"> </w:t>
      </w:r>
      <w:r w:rsidR="35F2783B" w:rsidRPr="2C33536F">
        <w:rPr>
          <w:rFonts w:ascii="Calibri" w:hAnsi="Calibri" w:cs="Calibri"/>
          <w:lang w:val="en-US"/>
        </w:rPr>
        <w:t>agricultural</w:t>
      </w:r>
      <w:r w:rsidR="4F0D4325" w:rsidRPr="2C33536F">
        <w:rPr>
          <w:rFonts w:ascii="Calibri" w:hAnsi="Calibri" w:cs="Calibri"/>
          <w:lang w:val="en-US"/>
        </w:rPr>
        <w:t xml:space="preserve"> and food</w:t>
      </w:r>
      <w:r w:rsidR="35F2783B" w:rsidRPr="2C33536F">
        <w:rPr>
          <w:rFonts w:ascii="Calibri" w:hAnsi="Calibri" w:cs="Calibri"/>
          <w:lang w:val="en-US"/>
        </w:rPr>
        <w:t xml:space="preserve"> </w:t>
      </w:r>
      <w:r w:rsidRPr="2C33536F">
        <w:rPr>
          <w:rFonts w:ascii="Calibri" w:hAnsi="Calibri" w:cs="Calibri"/>
          <w:lang w:val="en-US"/>
        </w:rPr>
        <w:t>products.</w:t>
      </w:r>
      <w:r w:rsidR="00E22549" w:rsidRPr="2C33536F">
        <w:rPr>
          <w:rFonts w:ascii="Calibri" w:hAnsi="Calibri" w:cs="Calibri"/>
          <w:lang w:val="en-US"/>
        </w:rPr>
        <w:t xml:space="preserve"> </w:t>
      </w:r>
    </w:p>
    <w:p w14:paraId="6E1DDBA3" w14:textId="07079047" w:rsidR="00AD1263" w:rsidRDefault="00AD1263" w:rsidP="00944054">
      <w:pPr>
        <w:spacing w:after="0" w:line="254" w:lineRule="auto"/>
        <w:rPr>
          <w:rFonts w:ascii="Calibri" w:hAnsi="Calibri" w:cs="Calibri"/>
          <w:b/>
          <w:bCs/>
          <w:sz w:val="28"/>
          <w:szCs w:val="28"/>
          <w:lang w:val="en-US"/>
        </w:rPr>
      </w:pPr>
      <w:r w:rsidRPr="00D56716">
        <w:rPr>
          <w:rFonts w:ascii="Calibri" w:hAnsi="Calibri" w:cs="Calibri"/>
          <w:b/>
          <w:bCs/>
          <w:sz w:val="32"/>
          <w:szCs w:val="32"/>
          <w:lang w:val="en-US"/>
        </w:rPr>
        <w:t>Enabling</w:t>
      </w:r>
      <w:r>
        <w:rPr>
          <w:rFonts w:ascii="Calibri" w:hAnsi="Calibri" w:cs="Calibri"/>
          <w:b/>
          <w:bCs/>
          <w:sz w:val="28"/>
          <w:szCs w:val="28"/>
          <w:lang w:val="en-US"/>
        </w:rPr>
        <w:t xml:space="preserve"> </w:t>
      </w:r>
      <w:r w:rsidR="00264676">
        <w:rPr>
          <w:rFonts w:ascii="Calibri" w:hAnsi="Calibri" w:cs="Calibri"/>
          <w:b/>
          <w:bCs/>
          <w:sz w:val="28"/>
          <w:szCs w:val="28"/>
          <w:lang w:val="en-US"/>
        </w:rPr>
        <w:t>c</w:t>
      </w:r>
      <w:r>
        <w:rPr>
          <w:rFonts w:ascii="Calibri" w:hAnsi="Calibri" w:cs="Calibri"/>
          <w:b/>
          <w:bCs/>
          <w:sz w:val="28"/>
          <w:szCs w:val="28"/>
          <w:lang w:val="en-US"/>
        </w:rPr>
        <w:t>apabilities</w:t>
      </w:r>
    </w:p>
    <w:p w14:paraId="0228A7F8" w14:textId="22DA28A8" w:rsidR="00835D4B" w:rsidRPr="00944054" w:rsidRDefault="00E22549" w:rsidP="00944054">
      <w:pPr>
        <w:spacing w:after="120" w:line="254" w:lineRule="auto"/>
        <w:rPr>
          <w:rFonts w:ascii="Calibri" w:hAnsi="Calibri" w:cs="Calibri"/>
          <w:b/>
          <w:bCs/>
          <w:i/>
          <w:iCs/>
          <w:sz w:val="20"/>
          <w:szCs w:val="20"/>
          <w:lang w:val="en-US"/>
        </w:rPr>
      </w:pPr>
      <w:r w:rsidRPr="00944054">
        <w:rPr>
          <w:rFonts w:ascii="Calibri" w:hAnsi="Calibri" w:cs="Calibri"/>
          <w:lang w:val="en-US"/>
        </w:rPr>
        <w:t>(</w:t>
      </w:r>
      <w:r>
        <w:rPr>
          <w:rFonts w:ascii="Calibri" w:hAnsi="Calibri" w:cs="Calibri"/>
          <w:i/>
          <w:iCs/>
          <w:lang w:val="en-US"/>
        </w:rPr>
        <w:t>s</w:t>
      </w:r>
      <w:r w:rsidR="00835D4B" w:rsidRPr="00944054">
        <w:rPr>
          <w:rFonts w:ascii="Calibri" w:hAnsi="Calibri" w:cs="Calibri"/>
          <w:i/>
          <w:iCs/>
          <w:lang w:val="en-US"/>
        </w:rPr>
        <w:t>upport</w:t>
      </w:r>
      <w:r w:rsidR="00264676">
        <w:rPr>
          <w:rFonts w:ascii="Calibri" w:hAnsi="Calibri" w:cs="Calibri"/>
          <w:i/>
          <w:iCs/>
          <w:lang w:val="en-US"/>
        </w:rPr>
        <w:t>s</w:t>
      </w:r>
      <w:r w:rsidR="00835D4B" w:rsidRPr="00944054">
        <w:rPr>
          <w:rFonts w:ascii="Calibri" w:hAnsi="Calibri" w:cs="Calibri"/>
          <w:i/>
          <w:iCs/>
          <w:lang w:val="en-US"/>
        </w:rPr>
        <w:t xml:space="preserve"> the </w:t>
      </w:r>
      <w:r w:rsidR="00976643">
        <w:rPr>
          <w:rFonts w:ascii="Calibri" w:hAnsi="Calibri" w:cs="Calibri"/>
          <w:i/>
          <w:iCs/>
          <w:lang w:val="en-US"/>
        </w:rPr>
        <w:t>e</w:t>
      </w:r>
      <w:r w:rsidR="00835D4B" w:rsidRPr="00944054">
        <w:rPr>
          <w:rFonts w:ascii="Calibri" w:hAnsi="Calibri" w:cs="Calibri"/>
          <w:i/>
          <w:iCs/>
          <w:lang w:val="en-US"/>
        </w:rPr>
        <w:t xml:space="preserve">nabling capabilities </w:t>
      </w:r>
      <w:r w:rsidR="00976643">
        <w:rPr>
          <w:rFonts w:ascii="Calibri" w:hAnsi="Calibri" w:cs="Calibri"/>
          <w:i/>
          <w:iCs/>
          <w:lang w:val="en-US"/>
        </w:rPr>
        <w:t>g</w:t>
      </w:r>
      <w:r w:rsidR="00835D4B" w:rsidRPr="00944054">
        <w:rPr>
          <w:rFonts w:ascii="Calibri" w:hAnsi="Calibri" w:cs="Calibri"/>
          <w:i/>
          <w:iCs/>
          <w:lang w:val="en-US"/>
        </w:rPr>
        <w:t xml:space="preserve">overnment </w:t>
      </w:r>
      <w:r w:rsidR="00C625A1">
        <w:rPr>
          <w:rFonts w:ascii="Calibri" w:hAnsi="Calibri" w:cs="Calibri"/>
          <w:i/>
          <w:iCs/>
          <w:lang w:val="en-US"/>
        </w:rPr>
        <w:t xml:space="preserve">identified </w:t>
      </w:r>
      <w:r w:rsidR="00835D4B" w:rsidRPr="00944054">
        <w:rPr>
          <w:rFonts w:ascii="Calibri" w:hAnsi="Calibri" w:cs="Calibri"/>
          <w:i/>
          <w:iCs/>
          <w:lang w:val="en-US"/>
        </w:rPr>
        <w:t>priority</w:t>
      </w:r>
      <w:r w:rsidR="008321C1" w:rsidRPr="00944054">
        <w:rPr>
          <w:rFonts w:ascii="Calibri" w:hAnsi="Calibri" w:cs="Calibri"/>
          <w:i/>
          <w:iCs/>
          <w:lang w:val="en-US"/>
        </w:rPr>
        <w:t xml:space="preserve"> area</w:t>
      </w:r>
      <w:r w:rsidR="00835D4B" w:rsidRPr="00944054">
        <w:rPr>
          <w:rFonts w:ascii="Calibri" w:hAnsi="Calibri" w:cs="Calibri"/>
          <w:i/>
          <w:iCs/>
          <w:lang w:val="en-US"/>
        </w:rPr>
        <w:t xml:space="preserve"> and </w:t>
      </w:r>
      <w:r w:rsidR="00835D4B" w:rsidRPr="00944054">
        <w:rPr>
          <w:i/>
          <w:iCs/>
        </w:rPr>
        <w:t xml:space="preserve">have the potential to diversify and transform Australian industry across </w:t>
      </w:r>
      <w:proofErr w:type="gramStart"/>
      <w:r w:rsidR="00835D4B" w:rsidRPr="00944054">
        <w:rPr>
          <w:i/>
          <w:iCs/>
        </w:rPr>
        <w:t>a number of</w:t>
      </w:r>
      <w:proofErr w:type="gramEnd"/>
      <w:r w:rsidR="00835D4B" w:rsidRPr="00944054">
        <w:rPr>
          <w:i/>
          <w:iCs/>
        </w:rPr>
        <w:t xml:space="preserve"> sectors</w:t>
      </w:r>
      <w:r w:rsidRPr="00944054">
        <w:t>)</w:t>
      </w:r>
    </w:p>
    <w:p w14:paraId="0A7FECFC" w14:textId="1DBB82D5" w:rsidR="00AD1263" w:rsidRDefault="00AD1263" w:rsidP="00944054">
      <w:pPr>
        <w:spacing w:after="0" w:line="254" w:lineRule="auto"/>
        <w:rPr>
          <w:rFonts w:ascii="Calibri" w:hAnsi="Calibri" w:cs="Calibri"/>
          <w:b/>
          <w:bCs/>
          <w:sz w:val="28"/>
          <w:szCs w:val="28"/>
          <w:lang w:val="en-US"/>
        </w:rPr>
      </w:pPr>
      <w:r>
        <w:rPr>
          <w:rFonts w:ascii="Calibri" w:hAnsi="Calibri" w:cs="Calibri"/>
          <w:b/>
          <w:bCs/>
          <w:sz w:val="28"/>
          <w:szCs w:val="28"/>
          <w:lang w:val="en-US"/>
        </w:rPr>
        <w:t>Quantum</w:t>
      </w:r>
      <w:r w:rsidR="0033234E">
        <w:rPr>
          <w:rFonts w:ascii="Calibri" w:hAnsi="Calibri" w:cs="Calibri"/>
          <w:b/>
          <w:bCs/>
          <w:sz w:val="28"/>
          <w:szCs w:val="28"/>
          <w:lang w:val="en-US"/>
        </w:rPr>
        <w:t xml:space="preserve"> </w:t>
      </w:r>
    </w:p>
    <w:p w14:paraId="68B34142" w14:textId="3DF3E301" w:rsidR="00AD1263" w:rsidRDefault="00AD1263" w:rsidP="00944054">
      <w:pPr>
        <w:spacing w:after="120" w:line="254" w:lineRule="auto"/>
        <w:rPr>
          <w:rFonts w:ascii="Calibri" w:hAnsi="Calibri" w:cs="Calibri"/>
          <w:lang w:val="en-US"/>
        </w:rPr>
      </w:pPr>
      <w:r w:rsidRPr="03C974F0">
        <w:rPr>
          <w:rFonts w:ascii="Calibri" w:hAnsi="Calibri" w:cs="Calibri"/>
          <w:lang w:val="en-US"/>
        </w:rPr>
        <w:t xml:space="preserve">Technologies </w:t>
      </w:r>
      <w:r w:rsidR="0096179A">
        <w:rPr>
          <w:rFonts w:ascii="Calibri" w:hAnsi="Calibri" w:cs="Calibri"/>
          <w:lang w:val="en-US"/>
        </w:rPr>
        <w:t>which</w:t>
      </w:r>
      <w:r w:rsidRPr="03C974F0">
        <w:rPr>
          <w:rFonts w:ascii="Calibri" w:hAnsi="Calibri" w:cs="Calibri"/>
          <w:lang w:val="en-US"/>
        </w:rPr>
        <w:t xml:space="preserve"> make downstream use of quantum physics principles to deliver innovations in sensing and measurement, positioning and timing, quantum communication and cryptography capabilities</w:t>
      </w:r>
      <w:r w:rsidR="1EEC5FFF" w:rsidRPr="03C974F0">
        <w:rPr>
          <w:rFonts w:ascii="Calibri" w:hAnsi="Calibri" w:cs="Calibri"/>
          <w:lang w:val="en-US"/>
        </w:rPr>
        <w:t>,</w:t>
      </w:r>
      <w:r w:rsidRPr="03C974F0">
        <w:rPr>
          <w:rFonts w:ascii="Calibri" w:hAnsi="Calibri" w:cs="Calibri"/>
          <w:lang w:val="en-US"/>
        </w:rPr>
        <w:t xml:space="preserve"> and progress toward industry-ready </w:t>
      </w:r>
      <w:r w:rsidR="46500854" w:rsidRPr="03C974F0">
        <w:rPr>
          <w:rFonts w:ascii="Calibri" w:hAnsi="Calibri" w:cs="Calibri"/>
          <w:lang w:val="en-US"/>
        </w:rPr>
        <w:t xml:space="preserve">quantum </w:t>
      </w:r>
      <w:r w:rsidRPr="03C974F0">
        <w:rPr>
          <w:rFonts w:ascii="Calibri" w:hAnsi="Calibri" w:cs="Calibri"/>
          <w:lang w:val="en-US"/>
        </w:rPr>
        <w:t>computation.</w:t>
      </w:r>
    </w:p>
    <w:p w14:paraId="3FDB6648" w14:textId="77777777" w:rsidR="00AD1263" w:rsidRDefault="00AD1263" w:rsidP="00944054">
      <w:pPr>
        <w:spacing w:after="0" w:line="254" w:lineRule="auto"/>
        <w:rPr>
          <w:rFonts w:ascii="Calibri" w:hAnsi="Calibri" w:cs="Calibri"/>
          <w:b/>
          <w:bCs/>
          <w:sz w:val="28"/>
          <w:szCs w:val="28"/>
          <w:lang w:val="en-US"/>
        </w:rPr>
      </w:pPr>
      <w:r>
        <w:rPr>
          <w:rFonts w:ascii="Calibri" w:hAnsi="Calibri" w:cs="Calibri"/>
          <w:b/>
          <w:bCs/>
          <w:sz w:val="28"/>
          <w:szCs w:val="28"/>
          <w:lang w:val="en-US"/>
        </w:rPr>
        <w:t>Artificial intelligence</w:t>
      </w:r>
    </w:p>
    <w:p w14:paraId="5EEFA1CF" w14:textId="101498E4" w:rsidR="00AD1263" w:rsidRDefault="00AD1263" w:rsidP="00944054">
      <w:pPr>
        <w:spacing w:after="120" w:line="254" w:lineRule="auto"/>
        <w:rPr>
          <w:rFonts w:ascii="Calibri" w:hAnsi="Calibri" w:cs="Calibri"/>
          <w:lang w:val="en-US"/>
        </w:rPr>
      </w:pPr>
      <w:r w:rsidRPr="5609D885">
        <w:rPr>
          <w:rFonts w:ascii="Calibri" w:hAnsi="Calibri" w:cs="Calibri"/>
          <w:lang w:val="en-US"/>
        </w:rPr>
        <w:t xml:space="preserve">Technologies </w:t>
      </w:r>
      <w:r w:rsidR="0096179A">
        <w:rPr>
          <w:rFonts w:ascii="Calibri" w:hAnsi="Calibri" w:cs="Calibri"/>
          <w:lang w:val="en-US"/>
        </w:rPr>
        <w:t>which</w:t>
      </w:r>
      <w:r w:rsidRPr="5609D885">
        <w:rPr>
          <w:rFonts w:ascii="Calibri" w:hAnsi="Calibri" w:cs="Calibri"/>
          <w:lang w:val="en-US"/>
        </w:rPr>
        <w:t xml:space="preserve"> enable autonomous systems to solve problems and complete </w:t>
      </w:r>
      <w:r w:rsidR="00D52B17">
        <w:rPr>
          <w:rFonts w:ascii="Calibri" w:hAnsi="Calibri" w:cs="Calibri"/>
          <w:lang w:val="en-US"/>
        </w:rPr>
        <w:t xml:space="preserve">complex </w:t>
      </w:r>
      <w:r w:rsidRPr="5609D885">
        <w:rPr>
          <w:rFonts w:ascii="Calibri" w:hAnsi="Calibri" w:cs="Calibri"/>
          <w:lang w:val="en-US"/>
        </w:rPr>
        <w:t>tasks such as prediction</w:t>
      </w:r>
      <w:r w:rsidR="000C1E80">
        <w:rPr>
          <w:rFonts w:ascii="Calibri" w:hAnsi="Calibri" w:cs="Calibri"/>
          <w:lang w:val="en-US"/>
        </w:rPr>
        <w:t xml:space="preserve"> and</w:t>
      </w:r>
      <w:r w:rsidRPr="5609D885">
        <w:rPr>
          <w:rFonts w:ascii="Calibri" w:hAnsi="Calibri" w:cs="Calibri"/>
          <w:lang w:val="en-US"/>
        </w:rPr>
        <w:t xml:space="preserve"> object detection, with an initial focus on language processing, computer vision and support for robotics. </w:t>
      </w:r>
    </w:p>
    <w:p w14:paraId="2A1F713F" w14:textId="112D6BF3" w:rsidR="00AD1263" w:rsidRDefault="00AD1263" w:rsidP="00944054">
      <w:pPr>
        <w:spacing w:after="0" w:line="254" w:lineRule="auto"/>
        <w:rPr>
          <w:rFonts w:ascii="Calibri" w:hAnsi="Calibri" w:cs="Calibri"/>
          <w:b/>
          <w:bCs/>
          <w:sz w:val="28"/>
          <w:szCs w:val="28"/>
          <w:lang w:val="en-US"/>
        </w:rPr>
      </w:pPr>
      <w:r>
        <w:rPr>
          <w:rFonts w:ascii="Calibri" w:hAnsi="Calibri" w:cs="Calibri"/>
          <w:b/>
          <w:bCs/>
          <w:sz w:val="28"/>
          <w:szCs w:val="28"/>
          <w:lang w:val="en-US"/>
        </w:rPr>
        <w:t>Advanced manufacturing</w:t>
      </w:r>
    </w:p>
    <w:p w14:paraId="58562A69" w14:textId="6301350A" w:rsidR="007E554D" w:rsidRPr="007E554D" w:rsidRDefault="00AD1263" w:rsidP="00AD1263">
      <w:pPr>
        <w:spacing w:after="160"/>
        <w:contextualSpacing/>
        <w:rPr>
          <w:rFonts w:ascii="Calibri" w:eastAsia="Calibri" w:hAnsi="Calibri" w:cs="Arial"/>
          <w:b/>
          <w:bCs/>
        </w:rPr>
      </w:pPr>
      <w:r w:rsidRPr="5609D885">
        <w:rPr>
          <w:rFonts w:ascii="Calibri" w:hAnsi="Calibri" w:cs="Calibri"/>
          <w:lang w:val="en-US"/>
        </w:rPr>
        <w:t xml:space="preserve">Technologies </w:t>
      </w:r>
      <w:r w:rsidR="0096179A">
        <w:rPr>
          <w:rFonts w:ascii="Calibri" w:hAnsi="Calibri" w:cs="Calibri"/>
          <w:lang w:val="en-US"/>
        </w:rPr>
        <w:t>which</w:t>
      </w:r>
      <w:r w:rsidRPr="5609D885">
        <w:rPr>
          <w:rFonts w:ascii="Calibri" w:hAnsi="Calibri" w:cs="Calibri"/>
          <w:lang w:val="en-US"/>
        </w:rPr>
        <w:t xml:space="preserve"> expand Australia</w:t>
      </w:r>
      <w:r w:rsidR="16710C24" w:rsidRPr="5609D885">
        <w:rPr>
          <w:rFonts w:ascii="Calibri" w:hAnsi="Calibri" w:cs="Calibri"/>
          <w:lang w:val="en-US"/>
        </w:rPr>
        <w:t>’s</w:t>
      </w:r>
      <w:r w:rsidRPr="5609D885">
        <w:rPr>
          <w:rFonts w:ascii="Calibri" w:hAnsi="Calibri" w:cs="Calibri"/>
          <w:lang w:val="en-US"/>
        </w:rPr>
        <w:t xml:space="preserve"> capability to manufacture complex products. I</w:t>
      </w:r>
      <w:r w:rsidR="00E3388F">
        <w:rPr>
          <w:rFonts w:ascii="Calibri" w:hAnsi="Calibri" w:cs="Calibri"/>
          <w:lang w:val="en-US"/>
        </w:rPr>
        <w:t>t i</w:t>
      </w:r>
      <w:r w:rsidRPr="5609D885">
        <w:rPr>
          <w:rFonts w:ascii="Calibri" w:hAnsi="Calibri" w:cs="Calibri"/>
          <w:lang w:val="en-US"/>
        </w:rPr>
        <w:t xml:space="preserve">ncludes novel materials such as advanced composites as well as equipment and processes, novel additive manufacturing processes, capabilities to produce critical goods like semiconductors and integrated circuits, and materials that </w:t>
      </w:r>
      <w:r w:rsidR="53FC0B36" w:rsidRPr="5609D885">
        <w:rPr>
          <w:rFonts w:ascii="Calibri" w:hAnsi="Calibri" w:cs="Calibri"/>
          <w:lang w:val="en-US"/>
        </w:rPr>
        <w:t xml:space="preserve">use </w:t>
      </w:r>
      <w:r w:rsidRPr="5609D885">
        <w:rPr>
          <w:rFonts w:ascii="Calibri" w:hAnsi="Calibri" w:cs="Calibri"/>
          <w:lang w:val="en-US"/>
        </w:rPr>
        <w:t>critical and strategic minerals.</w:t>
      </w:r>
      <w:r w:rsidR="008E6C09" w:rsidRPr="5609D885">
        <w:rPr>
          <w:rFonts w:ascii="Calibri" w:hAnsi="Calibri" w:cs="Calibri"/>
          <w:lang w:val="en-US"/>
        </w:rPr>
        <w:t xml:space="preserve"> </w:t>
      </w:r>
      <w:r w:rsidR="00EF1931" w:rsidRPr="00211AAD">
        <w:rPr>
          <w:rFonts w:ascii="Calibri" w:eastAsia="Calibri" w:hAnsi="Calibri" w:cs="Arial"/>
          <w:kern w:val="2"/>
          <w14:ligatures w14:val="standardContextual"/>
        </w:rPr>
        <w:t xml:space="preserve"> </w:t>
      </w:r>
      <w:r w:rsidR="005972A0" w:rsidRPr="00211AAD">
        <w:rPr>
          <w:rFonts w:ascii="Calibri" w:eastAsia="Calibri" w:hAnsi="Calibri" w:cs="Arial"/>
          <w:kern w:val="2"/>
          <w14:ligatures w14:val="standardContextual"/>
        </w:rPr>
        <w:br w:type="page"/>
      </w:r>
    </w:p>
    <w:p w14:paraId="61C3F3D1" w14:textId="77777777" w:rsidR="005972A0" w:rsidRPr="00E909E0" w:rsidRDefault="005972A0" w:rsidP="002855A3">
      <w:pPr>
        <w:pStyle w:val="Heading2"/>
      </w:pPr>
      <w:bookmarkStart w:id="14" w:name="_Toc170917806"/>
      <w:r w:rsidRPr="00E909E0">
        <w:lastRenderedPageBreak/>
        <w:t xml:space="preserve">Future </w:t>
      </w:r>
      <w:r>
        <w:t>work</w:t>
      </w:r>
      <w:bookmarkEnd w:id="14"/>
    </w:p>
    <w:p w14:paraId="3AB6B815" w14:textId="01EB8B07" w:rsidR="007A78D8" w:rsidRDefault="007A78D8" w:rsidP="007A78D8">
      <w:pPr>
        <w:keepNext/>
        <w:rPr>
          <w:rFonts w:ascii="Calibri" w:eastAsia="Calibri" w:hAnsi="Calibri" w:cs="Arial"/>
          <w:kern w:val="2"/>
          <w14:ligatures w14:val="standardContextual"/>
        </w:rPr>
      </w:pPr>
      <w:r>
        <w:rPr>
          <w:rFonts w:ascii="Calibri" w:eastAsia="Calibri" w:hAnsi="Calibri" w:cs="Arial"/>
          <w:kern w:val="2"/>
          <w14:ligatures w14:val="standardContextual"/>
        </w:rPr>
        <w:t>E</w:t>
      </w:r>
      <w:r w:rsidR="00136C7A" w:rsidRPr="007E554D">
        <w:rPr>
          <w:rFonts w:ascii="Calibri" w:eastAsia="Calibri" w:hAnsi="Calibri" w:cs="Arial"/>
          <w:kern w:val="2"/>
          <w14:ligatures w14:val="standardContextual"/>
        </w:rPr>
        <w:t xml:space="preserve">ach year, as </w:t>
      </w:r>
      <w:r>
        <w:rPr>
          <w:rFonts w:ascii="Calibri" w:eastAsia="Calibri" w:hAnsi="Calibri" w:cs="Arial"/>
          <w:kern w:val="2"/>
          <w14:ligatures w14:val="standardContextual"/>
        </w:rPr>
        <w:t xml:space="preserve">Australia’s </w:t>
      </w:r>
      <w:r w:rsidR="00721CC2">
        <w:rPr>
          <w:rFonts w:ascii="Calibri" w:eastAsia="Calibri" w:hAnsi="Calibri" w:cs="Arial"/>
          <w:kern w:val="2"/>
          <w14:ligatures w14:val="standardContextual"/>
        </w:rPr>
        <w:t>research and development (R&amp;D)</w:t>
      </w:r>
      <w:r>
        <w:rPr>
          <w:rFonts w:ascii="Calibri" w:eastAsia="Calibri" w:hAnsi="Calibri" w:cs="Arial"/>
          <w:kern w:val="2"/>
          <w14:ligatures w14:val="standardContextual"/>
        </w:rPr>
        <w:t xml:space="preserve"> landscape and </w:t>
      </w:r>
      <w:r w:rsidR="00136C7A" w:rsidRPr="007E554D">
        <w:rPr>
          <w:rFonts w:ascii="Calibri" w:eastAsia="Calibri" w:hAnsi="Calibri" w:cs="Arial"/>
          <w:kern w:val="2"/>
          <w14:ligatures w14:val="standardContextual"/>
        </w:rPr>
        <w:t xml:space="preserve">national priorities evolve, the Board will advise on changes necessary to match quality research with industry demand and capture emerging technology and innovation opportunities. </w:t>
      </w:r>
    </w:p>
    <w:p w14:paraId="2A8CA8E6" w14:textId="5675875B" w:rsidR="00245E04" w:rsidRDefault="00245E04" w:rsidP="00B83688">
      <w:pPr>
        <w:spacing w:after="160"/>
        <w:rPr>
          <w:rFonts w:ascii="Calibri" w:eastAsia="Calibri" w:hAnsi="Calibri" w:cs="Arial"/>
          <w:kern w:val="2"/>
          <w14:ligatures w14:val="standardContextual"/>
        </w:rPr>
      </w:pPr>
      <w:r w:rsidRPr="00750F95">
        <w:rPr>
          <w:rFonts w:ascii="Calibri" w:eastAsia="Calibri" w:hAnsi="Calibri" w:cs="Arial"/>
          <w:kern w:val="2"/>
          <w14:ligatures w14:val="standardContextual"/>
        </w:rPr>
        <w:t xml:space="preserve">Consistent with the Australian Government’s Future Made in Australia ambition, </w:t>
      </w:r>
      <w:r>
        <w:rPr>
          <w:rFonts w:ascii="Calibri" w:eastAsia="Calibri" w:hAnsi="Calibri" w:cs="Arial"/>
          <w:kern w:val="2"/>
          <w14:ligatures w14:val="standardContextual"/>
        </w:rPr>
        <w:t>this approach</w:t>
      </w:r>
      <w:r w:rsidRPr="00750F95">
        <w:rPr>
          <w:rFonts w:ascii="Calibri" w:eastAsia="Calibri" w:hAnsi="Calibri" w:cs="Arial"/>
          <w:kern w:val="2"/>
          <w14:ligatures w14:val="standardContextual"/>
        </w:rPr>
        <w:t xml:space="preserve"> will ensure AEA investment remain</w:t>
      </w:r>
      <w:r>
        <w:rPr>
          <w:rFonts w:ascii="Calibri" w:eastAsia="Calibri" w:hAnsi="Calibri" w:cs="Arial"/>
          <w:kern w:val="2"/>
          <w14:ligatures w14:val="standardContextual"/>
        </w:rPr>
        <w:t>s</w:t>
      </w:r>
      <w:r w:rsidRPr="00750F95">
        <w:rPr>
          <w:rFonts w:ascii="Calibri" w:eastAsia="Calibri" w:hAnsi="Calibri" w:cs="Arial"/>
          <w:kern w:val="2"/>
          <w14:ligatures w14:val="standardContextual"/>
        </w:rPr>
        <w:t xml:space="preserve"> targeted over time in areas where Australia has comparative advantage and the highest likelihood of delivering real impact for Australian industry and the public.</w:t>
      </w:r>
    </w:p>
    <w:p w14:paraId="4690FB34" w14:textId="3D778B7F" w:rsidR="008D1DC8" w:rsidRDefault="005972A0" w:rsidP="008D1DC8">
      <w:r>
        <w:t>In preparation for the next Investment Plan, the Board will continue</w:t>
      </w:r>
      <w:r w:rsidR="008D1DC8">
        <w:t xml:space="preserve"> to:</w:t>
      </w:r>
    </w:p>
    <w:p w14:paraId="03569B65" w14:textId="7BD1063C" w:rsidR="004C6E01" w:rsidRDefault="008D1DC8" w:rsidP="00721CC2">
      <w:pPr>
        <w:numPr>
          <w:ilvl w:val="1"/>
          <w:numId w:val="27"/>
        </w:numPr>
        <w:spacing w:after="160"/>
        <w:rPr>
          <w:rFonts w:ascii="Calibri" w:eastAsia="Calibri" w:hAnsi="Calibri" w:cs="Arial"/>
          <w:kern w:val="2"/>
          <w14:ligatures w14:val="standardContextual"/>
        </w:rPr>
      </w:pPr>
      <w:r w:rsidRPr="00721CC2">
        <w:rPr>
          <w:rFonts w:ascii="Calibri" w:eastAsia="Calibri" w:hAnsi="Calibri" w:cs="Arial"/>
          <w:kern w:val="2"/>
          <w14:ligatures w14:val="standardContextual"/>
        </w:rPr>
        <w:t>e</w:t>
      </w:r>
      <w:r w:rsidR="005972A0" w:rsidRPr="00721CC2">
        <w:rPr>
          <w:rFonts w:ascii="Calibri" w:eastAsia="Calibri" w:hAnsi="Calibri" w:cs="Arial"/>
          <w:kern w:val="2"/>
          <w14:ligatures w14:val="standardContextual"/>
        </w:rPr>
        <w:t>xamine AEA focus areas that represent opportunities for research translation and commercialisation and align with Australia’s strengths and potential markets</w:t>
      </w:r>
      <w:r w:rsidR="006C774E">
        <w:rPr>
          <w:rFonts w:ascii="Calibri" w:eastAsia="Calibri" w:hAnsi="Calibri" w:cs="Arial"/>
          <w:kern w:val="2"/>
          <w14:ligatures w14:val="standardContextual"/>
        </w:rPr>
        <w:t xml:space="preserve"> </w:t>
      </w:r>
    </w:p>
    <w:p w14:paraId="3D6570C1" w14:textId="1D0E2EE0" w:rsidR="00CC0FAA" w:rsidRPr="00721CC2" w:rsidRDefault="00CC0FAA" w:rsidP="00721CC2">
      <w:pPr>
        <w:numPr>
          <w:ilvl w:val="1"/>
          <w:numId w:val="27"/>
        </w:numPr>
        <w:spacing w:after="160"/>
        <w:rPr>
          <w:rFonts w:ascii="Calibri" w:eastAsia="Calibri" w:hAnsi="Calibri" w:cs="Arial"/>
          <w:kern w:val="2"/>
          <w14:ligatures w14:val="standardContextual"/>
        </w:rPr>
      </w:pPr>
      <w:r>
        <w:rPr>
          <w:rFonts w:ascii="Calibri" w:eastAsia="Calibri" w:hAnsi="Calibri" w:cs="Arial"/>
          <w:kern w:val="2"/>
          <w14:ligatures w14:val="standardContextual"/>
        </w:rPr>
        <w:t xml:space="preserve">investigate </w:t>
      </w:r>
      <w:r w:rsidR="00DC0982">
        <w:rPr>
          <w:rFonts w:ascii="Calibri" w:eastAsia="Calibri" w:hAnsi="Calibri" w:cs="Arial"/>
          <w:kern w:val="2"/>
          <w14:ligatures w14:val="standardContextual"/>
        </w:rPr>
        <w:t xml:space="preserve">ways of boosting </w:t>
      </w:r>
      <w:r>
        <w:rPr>
          <w:rFonts w:ascii="Calibri" w:eastAsia="Calibri" w:hAnsi="Calibri" w:cs="Arial"/>
          <w:kern w:val="2"/>
          <w14:ligatures w14:val="standardContextual"/>
        </w:rPr>
        <w:t xml:space="preserve">participation of </w:t>
      </w:r>
      <w:r w:rsidR="00E67EA5">
        <w:rPr>
          <w:rFonts w:ascii="Calibri" w:eastAsia="Calibri" w:hAnsi="Calibri" w:cs="Arial"/>
          <w:kern w:val="2"/>
          <w14:ligatures w14:val="standardContextual"/>
        </w:rPr>
        <w:t>researchers with diverse backgrounds</w:t>
      </w:r>
      <w:r w:rsidR="00DC0982">
        <w:rPr>
          <w:rFonts w:ascii="Calibri" w:eastAsia="Calibri" w:hAnsi="Calibri" w:cs="Arial"/>
          <w:kern w:val="2"/>
          <w14:ligatures w14:val="standardContextual"/>
        </w:rPr>
        <w:t xml:space="preserve"> (</w:t>
      </w:r>
      <w:r w:rsidR="00E67EA5">
        <w:rPr>
          <w:rFonts w:ascii="Calibri" w:eastAsia="Calibri" w:hAnsi="Calibri" w:cs="Arial"/>
          <w:kern w:val="2"/>
          <w14:ligatures w14:val="standardContextual"/>
        </w:rPr>
        <w:t xml:space="preserve">including </w:t>
      </w:r>
      <w:r w:rsidR="00DC0982">
        <w:rPr>
          <w:rFonts w:ascii="Calibri" w:eastAsia="Calibri" w:hAnsi="Calibri" w:cs="Arial"/>
          <w:kern w:val="2"/>
          <w14:ligatures w14:val="standardContextual"/>
        </w:rPr>
        <w:t xml:space="preserve">from </w:t>
      </w:r>
      <w:r w:rsidR="00E67EA5">
        <w:rPr>
          <w:rFonts w:ascii="Calibri" w:eastAsia="Calibri" w:hAnsi="Calibri" w:cs="Arial"/>
          <w:kern w:val="2"/>
          <w14:ligatures w14:val="standardContextual"/>
        </w:rPr>
        <w:t>regio</w:t>
      </w:r>
      <w:r w:rsidR="00DC0982">
        <w:rPr>
          <w:rFonts w:ascii="Calibri" w:eastAsia="Calibri" w:hAnsi="Calibri" w:cs="Arial"/>
          <w:kern w:val="2"/>
          <w14:ligatures w14:val="standardContextual"/>
        </w:rPr>
        <w:t>nally headquartered universities, female identified</w:t>
      </w:r>
      <w:r w:rsidR="00646408">
        <w:rPr>
          <w:rFonts w:ascii="Calibri" w:eastAsia="Calibri" w:hAnsi="Calibri" w:cs="Arial"/>
          <w:kern w:val="2"/>
          <w14:ligatures w14:val="standardContextual"/>
        </w:rPr>
        <w:t xml:space="preserve"> researchers</w:t>
      </w:r>
      <w:r w:rsidR="00DC0982">
        <w:rPr>
          <w:rFonts w:ascii="Calibri" w:eastAsia="Calibri" w:hAnsi="Calibri" w:cs="Arial"/>
          <w:kern w:val="2"/>
          <w14:ligatures w14:val="standardContextual"/>
        </w:rPr>
        <w:t xml:space="preserve"> and First Nations identified</w:t>
      </w:r>
      <w:r w:rsidR="00646408">
        <w:rPr>
          <w:rFonts w:ascii="Calibri" w:eastAsia="Calibri" w:hAnsi="Calibri" w:cs="Arial"/>
          <w:kern w:val="2"/>
          <w14:ligatures w14:val="standardContextual"/>
        </w:rPr>
        <w:t xml:space="preserve"> researchers</w:t>
      </w:r>
      <w:r w:rsidR="00DC0982">
        <w:rPr>
          <w:rFonts w:ascii="Calibri" w:eastAsia="Calibri" w:hAnsi="Calibri" w:cs="Arial"/>
          <w:kern w:val="2"/>
          <w14:ligatures w14:val="standardContextual"/>
        </w:rPr>
        <w:t>)</w:t>
      </w:r>
    </w:p>
    <w:p w14:paraId="02635A73" w14:textId="44291154" w:rsidR="00726F51" w:rsidRDefault="006C774E" w:rsidP="00721CC2">
      <w:pPr>
        <w:numPr>
          <w:ilvl w:val="1"/>
          <w:numId w:val="27"/>
        </w:numPr>
        <w:spacing w:after="160"/>
        <w:rPr>
          <w:rFonts w:ascii="Calibri" w:eastAsia="Calibri" w:hAnsi="Calibri" w:cs="Arial"/>
          <w:kern w:val="2"/>
          <w14:ligatures w14:val="standardContextual"/>
        </w:rPr>
      </w:pPr>
      <w:r>
        <w:rPr>
          <w:rFonts w:ascii="Calibri" w:eastAsia="Calibri" w:hAnsi="Calibri" w:cs="Arial"/>
          <w:kern w:val="2"/>
          <w14:ligatures w14:val="standardContextual"/>
        </w:rPr>
        <w:t>P</w:t>
      </w:r>
      <w:r w:rsidR="00C43F5E" w:rsidRPr="00721CC2">
        <w:rPr>
          <w:rFonts w:ascii="Calibri" w:eastAsia="Calibri" w:hAnsi="Calibri" w:cs="Arial"/>
          <w:kern w:val="2"/>
          <w14:ligatures w14:val="standardContextual"/>
        </w:rPr>
        <w:t xml:space="preserve">riority managers will </w:t>
      </w:r>
      <w:r w:rsidR="00553C1D" w:rsidRPr="00721CC2">
        <w:rPr>
          <w:rFonts w:ascii="Calibri" w:eastAsia="Calibri" w:hAnsi="Calibri" w:cs="Arial"/>
          <w:kern w:val="2"/>
          <w14:ligatures w14:val="standardContextual"/>
        </w:rPr>
        <w:t xml:space="preserve">engage </w:t>
      </w:r>
      <w:r w:rsidR="005972A0" w:rsidRPr="00721CC2">
        <w:rPr>
          <w:rFonts w:ascii="Calibri" w:eastAsia="Calibri" w:hAnsi="Calibri" w:cs="Arial"/>
          <w:kern w:val="2"/>
          <w14:ligatures w14:val="standardContextual"/>
        </w:rPr>
        <w:t xml:space="preserve">with </w:t>
      </w:r>
      <w:r w:rsidR="00C43F5E" w:rsidRPr="00721CC2">
        <w:rPr>
          <w:rFonts w:ascii="Calibri" w:eastAsia="Calibri" w:hAnsi="Calibri" w:cs="Arial"/>
          <w:kern w:val="2"/>
          <w14:ligatures w14:val="standardContextual"/>
        </w:rPr>
        <w:t xml:space="preserve">potential </w:t>
      </w:r>
      <w:r w:rsidR="005972A0" w:rsidRPr="00721CC2">
        <w:rPr>
          <w:rFonts w:ascii="Calibri" w:eastAsia="Calibri" w:hAnsi="Calibri" w:cs="Arial"/>
          <w:kern w:val="2"/>
          <w14:ligatures w14:val="standardContextual"/>
        </w:rPr>
        <w:t xml:space="preserve">industry </w:t>
      </w:r>
      <w:r w:rsidR="00C43F5E" w:rsidRPr="00721CC2">
        <w:rPr>
          <w:rFonts w:ascii="Calibri" w:eastAsia="Calibri" w:hAnsi="Calibri" w:cs="Arial"/>
          <w:kern w:val="2"/>
          <w14:ligatures w14:val="standardContextual"/>
        </w:rPr>
        <w:t xml:space="preserve">partners </w:t>
      </w:r>
      <w:r w:rsidR="005972A0" w:rsidRPr="00721CC2">
        <w:rPr>
          <w:rFonts w:ascii="Calibri" w:eastAsia="Calibri" w:hAnsi="Calibri" w:cs="Arial"/>
          <w:kern w:val="2"/>
          <w14:ligatures w14:val="standardContextual"/>
        </w:rPr>
        <w:t>to identify tangible problems that AEA investment could help address</w:t>
      </w:r>
      <w:r w:rsidR="004C6E01" w:rsidRPr="00721CC2">
        <w:rPr>
          <w:rFonts w:ascii="Calibri" w:eastAsia="Calibri" w:hAnsi="Calibri" w:cs="Arial"/>
          <w:kern w:val="2"/>
          <w14:ligatures w14:val="standardContextual"/>
        </w:rPr>
        <w:t>.</w:t>
      </w:r>
    </w:p>
    <w:p w14:paraId="28FB4444" w14:textId="77777777" w:rsidR="0007098A" w:rsidRDefault="0007098A" w:rsidP="0007098A">
      <w:pPr>
        <w:spacing w:after="160"/>
        <w:rPr>
          <w:rFonts w:ascii="Calibri" w:eastAsia="Calibri" w:hAnsi="Calibri" w:cs="Arial"/>
          <w:kern w:val="2"/>
          <w14:ligatures w14:val="standardContextual"/>
        </w:rPr>
      </w:pPr>
    </w:p>
    <w:p w14:paraId="02DCA31A" w14:textId="77777777" w:rsidR="0007098A" w:rsidRDefault="0007098A" w:rsidP="0007098A">
      <w:pPr>
        <w:spacing w:after="160"/>
        <w:rPr>
          <w:rFonts w:ascii="Calibri" w:eastAsia="Calibri" w:hAnsi="Calibri" w:cs="Arial"/>
          <w:kern w:val="2"/>
          <w14:ligatures w14:val="standardContextual"/>
        </w:rPr>
      </w:pPr>
    </w:p>
    <w:p w14:paraId="5CE3F2D4" w14:textId="77777777" w:rsidR="0007098A" w:rsidRDefault="0007098A" w:rsidP="0007098A">
      <w:pPr>
        <w:spacing w:after="160"/>
        <w:rPr>
          <w:rFonts w:ascii="Calibri" w:eastAsia="Calibri" w:hAnsi="Calibri" w:cs="Arial"/>
          <w:kern w:val="2"/>
          <w14:ligatures w14:val="standardContextual"/>
        </w:rPr>
      </w:pPr>
    </w:p>
    <w:p w14:paraId="25AB696C" w14:textId="77777777" w:rsidR="0007098A" w:rsidRDefault="0007098A" w:rsidP="0007098A">
      <w:pPr>
        <w:spacing w:after="160"/>
        <w:rPr>
          <w:rFonts w:ascii="Calibri" w:eastAsia="Calibri" w:hAnsi="Calibri" w:cs="Arial"/>
          <w:kern w:val="2"/>
          <w14:ligatures w14:val="standardContextual"/>
        </w:rPr>
      </w:pPr>
    </w:p>
    <w:p w14:paraId="27A4BC4B" w14:textId="77777777" w:rsidR="0007098A" w:rsidRDefault="0007098A" w:rsidP="0007098A">
      <w:pPr>
        <w:spacing w:after="160"/>
        <w:rPr>
          <w:rFonts w:ascii="Calibri" w:eastAsia="Calibri" w:hAnsi="Calibri" w:cs="Arial"/>
          <w:kern w:val="2"/>
          <w14:ligatures w14:val="standardContextual"/>
        </w:rPr>
      </w:pPr>
    </w:p>
    <w:p w14:paraId="093D664E" w14:textId="77777777" w:rsidR="0007098A" w:rsidRDefault="0007098A" w:rsidP="0007098A">
      <w:pPr>
        <w:spacing w:after="160"/>
        <w:rPr>
          <w:rFonts w:ascii="Calibri" w:eastAsia="Calibri" w:hAnsi="Calibri" w:cs="Arial"/>
          <w:kern w:val="2"/>
          <w14:ligatures w14:val="standardContextual"/>
        </w:rPr>
      </w:pPr>
    </w:p>
    <w:p w14:paraId="2753F521" w14:textId="77777777" w:rsidR="0007098A" w:rsidRDefault="0007098A" w:rsidP="0007098A">
      <w:pPr>
        <w:spacing w:after="160"/>
        <w:rPr>
          <w:rFonts w:ascii="Calibri" w:eastAsia="Calibri" w:hAnsi="Calibri" w:cs="Arial"/>
          <w:kern w:val="2"/>
          <w14:ligatures w14:val="standardContextual"/>
        </w:rPr>
      </w:pPr>
    </w:p>
    <w:p w14:paraId="1241325C" w14:textId="77777777" w:rsidR="0007098A" w:rsidRDefault="0007098A" w:rsidP="0007098A">
      <w:pPr>
        <w:spacing w:after="160"/>
        <w:rPr>
          <w:rFonts w:ascii="Calibri" w:eastAsia="Calibri" w:hAnsi="Calibri" w:cs="Arial"/>
          <w:kern w:val="2"/>
          <w14:ligatures w14:val="standardContextual"/>
        </w:rPr>
      </w:pPr>
    </w:p>
    <w:p w14:paraId="337D3D8F" w14:textId="77777777" w:rsidR="0007098A" w:rsidRDefault="0007098A" w:rsidP="0007098A">
      <w:pPr>
        <w:spacing w:after="160"/>
        <w:rPr>
          <w:rFonts w:ascii="Calibri" w:eastAsia="Calibri" w:hAnsi="Calibri" w:cs="Arial"/>
          <w:kern w:val="2"/>
          <w14:ligatures w14:val="standardContextual"/>
        </w:rPr>
      </w:pPr>
    </w:p>
    <w:p w14:paraId="2E02455B" w14:textId="77777777" w:rsidR="0007098A" w:rsidRDefault="0007098A" w:rsidP="0007098A">
      <w:pPr>
        <w:spacing w:after="160"/>
        <w:rPr>
          <w:rFonts w:ascii="Calibri" w:eastAsia="Calibri" w:hAnsi="Calibri" w:cs="Arial"/>
          <w:kern w:val="2"/>
          <w14:ligatures w14:val="standardContextual"/>
        </w:rPr>
      </w:pPr>
    </w:p>
    <w:p w14:paraId="4244FFA3" w14:textId="77777777" w:rsidR="0007098A" w:rsidRDefault="0007098A" w:rsidP="0007098A">
      <w:pPr>
        <w:spacing w:after="160"/>
        <w:rPr>
          <w:rFonts w:ascii="Calibri" w:eastAsia="Calibri" w:hAnsi="Calibri" w:cs="Arial"/>
          <w:kern w:val="2"/>
          <w14:ligatures w14:val="standardContextual"/>
        </w:rPr>
      </w:pPr>
    </w:p>
    <w:p w14:paraId="7E3536D4" w14:textId="77777777" w:rsidR="0007098A" w:rsidRDefault="0007098A" w:rsidP="0007098A">
      <w:pPr>
        <w:spacing w:after="160"/>
        <w:rPr>
          <w:rFonts w:ascii="Calibri" w:eastAsia="Calibri" w:hAnsi="Calibri" w:cs="Arial"/>
          <w:kern w:val="2"/>
          <w14:ligatures w14:val="standardContextual"/>
        </w:rPr>
      </w:pPr>
    </w:p>
    <w:p w14:paraId="63115E6C" w14:textId="77777777" w:rsidR="0007098A" w:rsidRDefault="0007098A" w:rsidP="0007098A">
      <w:pPr>
        <w:spacing w:after="160"/>
        <w:rPr>
          <w:rFonts w:ascii="Calibri" w:eastAsia="Calibri" w:hAnsi="Calibri" w:cs="Arial"/>
          <w:kern w:val="2"/>
          <w14:ligatures w14:val="standardContextual"/>
        </w:rPr>
      </w:pPr>
    </w:p>
    <w:p w14:paraId="2B750464" w14:textId="77777777" w:rsidR="0007098A" w:rsidRDefault="0007098A" w:rsidP="0007098A">
      <w:pPr>
        <w:spacing w:after="160"/>
        <w:rPr>
          <w:rFonts w:ascii="Calibri" w:eastAsia="Calibri" w:hAnsi="Calibri" w:cs="Arial"/>
          <w:kern w:val="2"/>
          <w14:ligatures w14:val="standardContextual"/>
        </w:rPr>
      </w:pPr>
    </w:p>
    <w:p w14:paraId="73E6A10B" w14:textId="77777777" w:rsidR="0007098A" w:rsidRDefault="0007098A" w:rsidP="0007098A">
      <w:pPr>
        <w:spacing w:after="160"/>
        <w:rPr>
          <w:rFonts w:ascii="Calibri" w:eastAsia="Calibri" w:hAnsi="Calibri" w:cs="Arial"/>
          <w:kern w:val="2"/>
          <w14:ligatures w14:val="standardContextual"/>
        </w:rPr>
      </w:pPr>
    </w:p>
    <w:p w14:paraId="0084667C" w14:textId="77777777" w:rsidR="0007098A" w:rsidRDefault="0007098A" w:rsidP="0007098A">
      <w:pPr>
        <w:spacing w:after="160"/>
        <w:rPr>
          <w:rFonts w:ascii="Calibri" w:eastAsia="Calibri" w:hAnsi="Calibri" w:cs="Arial"/>
          <w:kern w:val="2"/>
          <w14:ligatures w14:val="standardContextual"/>
        </w:rPr>
      </w:pPr>
    </w:p>
    <w:p w14:paraId="3E0196D5" w14:textId="77777777" w:rsidR="0007098A" w:rsidRDefault="0007098A" w:rsidP="0007098A">
      <w:pPr>
        <w:spacing w:after="160"/>
        <w:rPr>
          <w:rFonts w:ascii="Calibri" w:eastAsia="Calibri" w:hAnsi="Calibri" w:cs="Arial"/>
          <w:kern w:val="2"/>
          <w14:ligatures w14:val="standardContextual"/>
        </w:rPr>
      </w:pPr>
    </w:p>
    <w:p w14:paraId="510416BE" w14:textId="77777777" w:rsidR="0007098A" w:rsidRDefault="0007098A" w:rsidP="0007098A">
      <w:pPr>
        <w:spacing w:after="160"/>
        <w:rPr>
          <w:rFonts w:ascii="Calibri" w:eastAsia="Calibri" w:hAnsi="Calibri" w:cs="Arial"/>
          <w:kern w:val="2"/>
          <w14:ligatures w14:val="standardContextual"/>
        </w:rPr>
      </w:pPr>
    </w:p>
    <w:p w14:paraId="1C38AA48" w14:textId="704E6905" w:rsidR="0007098A" w:rsidRDefault="006742C3" w:rsidP="00CF7E2A">
      <w:pPr>
        <w:pStyle w:val="Heading2"/>
        <w:rPr>
          <w:rFonts w:ascii="Calibri" w:eastAsia="Calibri" w:hAnsi="Calibri" w:cs="Arial"/>
          <w:kern w:val="2"/>
          <w14:ligatures w14:val="standardContextual"/>
        </w:rPr>
      </w:pPr>
      <w:bookmarkStart w:id="15" w:name="_Toc170917807"/>
      <w:r>
        <w:lastRenderedPageBreak/>
        <w:t>Appendix – AEA Focus Area Profiles</w:t>
      </w:r>
      <w:bookmarkEnd w:id="15"/>
    </w:p>
    <w:p w14:paraId="3AA73DE7" w14:textId="77777777" w:rsidR="00D25D15" w:rsidRDefault="00D25D15" w:rsidP="00726F51">
      <w:pPr>
        <w:spacing w:after="160"/>
        <w:rPr>
          <w:rFonts w:ascii="Calibri" w:eastAsia="Calibri" w:hAnsi="Calibri" w:cs="Arial"/>
          <w:kern w:val="2"/>
          <w14:ligatures w14:val="standardContextual"/>
        </w:rPr>
        <w:sectPr w:rsidR="00D25D15" w:rsidSect="002D1430">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567" w:gutter="0"/>
          <w:cols w:space="708"/>
          <w:docGrid w:linePitch="360"/>
        </w:sectPr>
      </w:pPr>
    </w:p>
    <w:p w14:paraId="54C7884A" w14:textId="77777777" w:rsidR="00202443" w:rsidRDefault="00202443" w:rsidP="00064FD4">
      <w:pPr>
        <w:tabs>
          <w:tab w:val="left" w:pos="0"/>
        </w:tabs>
        <w:ind w:hanging="426"/>
      </w:pPr>
      <w:r>
        <w:rPr>
          <w:noProof/>
        </w:rPr>
        <w:lastRenderedPageBreak/>
        <w:drawing>
          <wp:anchor distT="0" distB="0" distL="114300" distR="114300" simplePos="0" relativeHeight="251665410" behindDoc="0" locked="0" layoutInCell="1" allowOverlap="1" wp14:anchorId="1DE484EB" wp14:editId="23FCBA6A">
            <wp:simplePos x="0" y="0"/>
            <wp:positionH relativeFrom="column">
              <wp:posOffset>4601845</wp:posOffset>
            </wp:positionH>
            <wp:positionV relativeFrom="paragraph">
              <wp:posOffset>240324</wp:posOffset>
            </wp:positionV>
            <wp:extent cx="1749425" cy="1773555"/>
            <wp:effectExtent l="0" t="0" r="0" b="0"/>
            <wp:wrapSquare wrapText="bothSides"/>
            <wp:docPr id="202954103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1034" name="Picture 4">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749425" cy="177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815">
        <w:rPr>
          <w:b/>
          <w:bCs/>
          <w:noProof/>
        </w:rPr>
        <w:drawing>
          <wp:anchor distT="0" distB="0" distL="114300" distR="114300" simplePos="0" relativeHeight="251660290" behindDoc="1" locked="1" layoutInCell="1" allowOverlap="1" wp14:anchorId="457576DF" wp14:editId="465E1870">
            <wp:simplePos x="0" y="0"/>
            <wp:positionH relativeFrom="page">
              <wp:align>left</wp:align>
            </wp:positionH>
            <wp:positionV relativeFrom="page">
              <wp:posOffset>25400</wp:posOffset>
            </wp:positionV>
            <wp:extent cx="7559675" cy="1565910"/>
            <wp:effectExtent l="0" t="0" r="3175" b="0"/>
            <wp:wrapNone/>
            <wp:docPr id="160006957" name="Picture 1600069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2DC48D8" wp14:editId="584262A3">
            <wp:extent cx="1622002" cy="701675"/>
            <wp:effectExtent l="0" t="0" r="0" b="3175"/>
            <wp:docPr id="3"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12" cstate="print">
                      <a:extLst>
                        <a:ext uri="{28A0092B-C50C-407E-A947-70E740481C1C}">
                          <a14:useLocalDpi xmlns:a14="http://schemas.microsoft.com/office/drawing/2010/main" val="0"/>
                        </a:ext>
                      </a:extLst>
                    </a:blip>
                    <a:srcRect l="52996"/>
                    <a:stretch/>
                  </pic:blipFill>
                  <pic:spPr bwMode="auto">
                    <a:xfrm>
                      <a:off x="0" y="0"/>
                      <a:ext cx="1622753" cy="702000"/>
                    </a:xfrm>
                    <a:prstGeom prst="rect">
                      <a:avLst/>
                    </a:prstGeom>
                    <a:ln>
                      <a:noFill/>
                    </a:ln>
                    <a:extLst>
                      <a:ext uri="{53640926-AAD7-44D8-BBD7-CCE9431645EC}">
                        <a14:shadowObscured xmlns:a14="http://schemas.microsoft.com/office/drawing/2010/main"/>
                      </a:ext>
                    </a:extLst>
                  </pic:spPr>
                </pic:pic>
              </a:graphicData>
            </a:graphic>
          </wp:inline>
        </w:drawing>
      </w:r>
    </w:p>
    <w:p w14:paraId="05C46C82" w14:textId="77777777" w:rsidR="00202443" w:rsidRDefault="00202443" w:rsidP="00A10BA5">
      <w:pPr>
        <w:pStyle w:val="AppendixH1"/>
        <w:spacing w:before="1080"/>
      </w:pPr>
      <w:r>
        <w:t>Critical &amp; Strategic Minerals Processing</w:t>
      </w:r>
    </w:p>
    <w:p w14:paraId="5B8360BC" w14:textId="77777777" w:rsidR="00202443" w:rsidRDefault="00202443" w:rsidP="0058654B">
      <w:pPr>
        <w:rPr>
          <w:rStyle w:val="A1"/>
        </w:rPr>
      </w:pPr>
      <w:bookmarkStart w:id="16" w:name="_Toc126923148"/>
      <w:bookmarkStart w:id="17" w:name="_Toc126923159"/>
      <w:bookmarkStart w:id="18" w:name="_Toc126923318"/>
    </w:p>
    <w:p w14:paraId="5A22FE43" w14:textId="77777777" w:rsidR="00202443" w:rsidRDefault="00C97261" w:rsidP="0058654B">
      <w:hyperlink r:id="rId35">
        <w:r w:rsidR="00202443" w:rsidRPr="196948D9">
          <w:rPr>
            <w:rStyle w:val="Hyperlink"/>
            <w:rFonts w:cs="Inter"/>
            <w:color w:val="215E9F"/>
          </w:rPr>
          <w:t>Australia’s Economic Accelerator</w:t>
        </w:r>
      </w:hyperlink>
      <w:r w:rsidR="00202443" w:rsidRPr="196948D9">
        <w:rPr>
          <w:rStyle w:val="A1"/>
        </w:rPr>
        <w:t xml:space="preserve"> </w:t>
      </w:r>
      <w:r w:rsidR="00202443">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36">
        <w:r w:rsidR="00202443" w:rsidRPr="196948D9">
          <w:rPr>
            <w:rStyle w:val="Hyperlink"/>
            <w:rFonts w:cs="Inter"/>
            <w:i/>
            <w:iCs/>
            <w:color w:val="215E9F"/>
          </w:rPr>
          <w:t>National Reconstruction Fund Corporation (Priority Areas) Declaration 2023</w:t>
        </w:r>
        <w:r w:rsidR="00202443" w:rsidRPr="196948D9">
          <w:rPr>
            <w:rStyle w:val="Hyperlink"/>
            <w:color w:val="000000" w:themeColor="text1"/>
          </w:rPr>
          <w:t>)</w:t>
        </w:r>
      </w:hyperlink>
      <w:r w:rsidR="00202443">
        <w:t xml:space="preserve">. Within these priorities, the first round of grants will prioritise projects that align with one or more of 6 focus areas, including advanced manufacturing, artificial intelligence, digital agriculture, quantum, sustainable fuels, and critical and strategic minerals processing. </w:t>
      </w:r>
    </w:p>
    <w:p w14:paraId="0B8134BF" w14:textId="77777777" w:rsidR="00202443" w:rsidRDefault="00202443" w:rsidP="00346FD9">
      <w:r>
        <w:t>Critical and strategic minerals processing are technologies enabling the transition from mineral to material, namely processing and early value chain manufacturing techniques using mineral inputs deemed critical or strategic to the national interest. This includes technologies to enable exploration, low environmental impact extraction and processing of minerals that are vital for the energy transition like copper; new and sustainable value-add opportunities in green metals; novel and high purity refining method or minerals like lithium; and other technologies to improve mineral recovery and processing efficiency.</w:t>
      </w:r>
    </w:p>
    <w:p w14:paraId="76D14625" w14:textId="77777777" w:rsidR="00202443" w:rsidRDefault="00202443" w:rsidP="00A10BA5">
      <w:pPr>
        <w:pStyle w:val="Heading2"/>
        <w:spacing w:before="120"/>
      </w:pPr>
      <w:r w:rsidRPr="009C05D4">
        <w:t xml:space="preserve">National priority </w:t>
      </w:r>
    </w:p>
    <w:tbl>
      <w:tblPr>
        <w:tblStyle w:val="TableGrid"/>
        <w:tblW w:w="9209" w:type="dxa"/>
        <w:tblLook w:val="04A0" w:firstRow="1" w:lastRow="0" w:firstColumn="1" w:lastColumn="0" w:noHBand="0" w:noVBand="1"/>
      </w:tblPr>
      <w:tblGrid>
        <w:gridCol w:w="2977"/>
        <w:gridCol w:w="6232"/>
      </w:tblGrid>
      <w:tr w:rsidR="00202443" w:rsidRPr="00CE537A" w14:paraId="0170C214" w14:textId="77777777" w:rsidTr="00861D62">
        <w:tc>
          <w:tcPr>
            <w:tcW w:w="2977" w:type="dxa"/>
            <w:tcBorders>
              <w:top w:val="nil"/>
              <w:left w:val="nil"/>
              <w:bottom w:val="nil"/>
              <w:right w:val="nil"/>
            </w:tcBorders>
          </w:tcPr>
          <w:p w14:paraId="557CF393" w14:textId="77777777" w:rsidR="00202443" w:rsidRDefault="00202443" w:rsidP="00A61767">
            <w:pPr>
              <w:tabs>
                <w:tab w:val="left" w:pos="2526"/>
              </w:tabs>
            </w:pPr>
            <w:r>
              <w:rPr>
                <w:noProof/>
              </w:rPr>
              <w:drawing>
                <wp:anchor distT="0" distB="0" distL="114300" distR="114300" simplePos="0" relativeHeight="251661824" behindDoc="1" locked="0" layoutInCell="1" allowOverlap="1" wp14:anchorId="687CADAC" wp14:editId="121F8876">
                  <wp:simplePos x="0" y="0"/>
                  <wp:positionH relativeFrom="column">
                    <wp:posOffset>44943</wp:posOffset>
                  </wp:positionH>
                  <wp:positionV relativeFrom="paragraph">
                    <wp:posOffset>492</wp:posOffset>
                  </wp:positionV>
                  <wp:extent cx="1638000" cy="1638000"/>
                  <wp:effectExtent l="0" t="0" r="0" b="0"/>
                  <wp:wrapTight wrapText="bothSides">
                    <wp:wrapPolygon edited="0">
                      <wp:start x="8040" y="251"/>
                      <wp:lineTo x="6533" y="1005"/>
                      <wp:lineTo x="2010" y="4271"/>
                      <wp:lineTo x="251" y="8543"/>
                      <wp:lineTo x="251" y="12814"/>
                      <wp:lineTo x="2261" y="16834"/>
                      <wp:lineTo x="2261" y="17588"/>
                      <wp:lineTo x="8040" y="21106"/>
                      <wp:lineTo x="13317" y="21106"/>
                      <wp:lineTo x="14322" y="20603"/>
                      <wp:lineTo x="19096" y="17337"/>
                      <wp:lineTo x="20855" y="12814"/>
                      <wp:lineTo x="21106" y="8794"/>
                      <wp:lineTo x="19598" y="4271"/>
                      <wp:lineTo x="15578" y="1508"/>
                      <wp:lineTo x="13317" y="251"/>
                      <wp:lineTo x="8040" y="251"/>
                    </wp:wrapPolygon>
                  </wp:wrapTight>
                  <wp:docPr id="1417686093" name="Graphic 1" descr="Value-add in resourc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86093" name="Graphic 1" descr="Value-add in resources icon"/>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1638000" cy="1638000"/>
                          </a:xfrm>
                          <a:prstGeom prst="rect">
                            <a:avLst/>
                          </a:prstGeom>
                        </pic:spPr>
                      </pic:pic>
                    </a:graphicData>
                  </a:graphic>
                  <wp14:sizeRelH relativeFrom="margin">
                    <wp14:pctWidth>0</wp14:pctWidth>
                  </wp14:sizeRelH>
                  <wp14:sizeRelV relativeFrom="margin">
                    <wp14:pctHeight>0</wp14:pctHeight>
                  </wp14:sizeRelV>
                </wp:anchor>
              </w:drawing>
            </w:r>
          </w:p>
        </w:tc>
        <w:tc>
          <w:tcPr>
            <w:tcW w:w="6232" w:type="dxa"/>
            <w:tcBorders>
              <w:top w:val="nil"/>
              <w:left w:val="nil"/>
              <w:bottom w:val="nil"/>
              <w:right w:val="nil"/>
            </w:tcBorders>
          </w:tcPr>
          <w:p w14:paraId="35992B3D" w14:textId="77777777" w:rsidR="00202443" w:rsidRDefault="00202443" w:rsidP="00A61767">
            <w:pPr>
              <w:ind w:left="177"/>
            </w:pPr>
            <w:r w:rsidRPr="009C05D4">
              <w:t xml:space="preserve">Strong policy priority that aligns with our resource advantage and feeds into other priority sectors. Critical and strategic minerals processing </w:t>
            </w:r>
            <w:proofErr w:type="gramStart"/>
            <w:r w:rsidRPr="009C05D4">
              <w:t>aligns</w:t>
            </w:r>
            <w:proofErr w:type="gramEnd"/>
            <w:r w:rsidRPr="009C05D4">
              <w:t xml:space="preserve"> with the national priority areas through adding value to extracted goods and the building of onshore industrial capability. </w:t>
            </w:r>
          </w:p>
          <w:p w14:paraId="501C9F06" w14:textId="77777777" w:rsidR="00202443" w:rsidRPr="00D97256" w:rsidRDefault="00C97261" w:rsidP="00202443">
            <w:pPr>
              <w:pStyle w:val="ListBullet"/>
              <w:numPr>
                <w:ilvl w:val="0"/>
                <w:numId w:val="61"/>
              </w:numPr>
              <w:ind w:left="885" w:hanging="425"/>
            </w:pPr>
            <w:hyperlink r:id="rId39" w:history="1">
              <w:r w:rsidR="00202443" w:rsidRPr="00546915">
                <w:rPr>
                  <w:rStyle w:val="Hyperlink"/>
                  <w:color w:val="215E9F"/>
                </w:rPr>
                <w:t>Critical Minerals Strategy 2023-2030</w:t>
              </w:r>
            </w:hyperlink>
          </w:p>
          <w:p w14:paraId="750D772D" w14:textId="77777777" w:rsidR="00202443" w:rsidRPr="009F0514" w:rsidRDefault="00C97261" w:rsidP="00202443">
            <w:pPr>
              <w:pStyle w:val="ListBullet"/>
              <w:numPr>
                <w:ilvl w:val="0"/>
                <w:numId w:val="61"/>
              </w:numPr>
              <w:ind w:left="885" w:hanging="425"/>
              <w:rPr>
                <w:rStyle w:val="Hyperlink"/>
                <w:color w:val="215E9F"/>
                <w:u w:val="none"/>
              </w:rPr>
            </w:pPr>
            <w:hyperlink r:id="rId40" w:history="1">
              <w:r w:rsidR="00202443" w:rsidRPr="00546915">
                <w:rPr>
                  <w:rStyle w:val="Hyperlink"/>
                  <w:color w:val="215E9F"/>
                </w:rPr>
                <w:t>List of Critical Technologies in the National Interest</w:t>
              </w:r>
            </w:hyperlink>
          </w:p>
          <w:p w14:paraId="20A1FCED" w14:textId="77777777" w:rsidR="00202443" w:rsidRPr="009F0514" w:rsidRDefault="00C97261" w:rsidP="00202443">
            <w:pPr>
              <w:pStyle w:val="ListBullet"/>
              <w:numPr>
                <w:ilvl w:val="0"/>
                <w:numId w:val="61"/>
              </w:numPr>
              <w:ind w:left="885" w:hanging="425"/>
              <w:rPr>
                <w:color w:val="215E9F"/>
              </w:rPr>
            </w:pPr>
            <w:hyperlink r:id="rId41" w:history="1">
              <w:r w:rsidR="00202443" w:rsidRPr="009F0514">
                <w:rPr>
                  <w:rStyle w:val="Hyperlink"/>
                  <w:color w:val="215E9F"/>
                </w:rPr>
                <w:t>Future Made in Australia agenda</w:t>
              </w:r>
            </w:hyperlink>
            <w:r w:rsidR="00202443">
              <w:rPr>
                <w:rStyle w:val="Hyperlink"/>
                <w:color w:val="215E9F"/>
              </w:rPr>
              <w:br/>
            </w:r>
          </w:p>
        </w:tc>
      </w:tr>
    </w:tbl>
    <w:tbl>
      <w:tblPr>
        <w:tblStyle w:val="EDU-Basic"/>
        <w:tblW w:w="9351" w:type="dxa"/>
        <w:tblInd w:w="-147" w:type="dxa"/>
        <w:tblLook w:val="04A0" w:firstRow="1" w:lastRow="0" w:firstColumn="1" w:lastColumn="0" w:noHBand="0" w:noVBand="1"/>
      </w:tblPr>
      <w:tblGrid>
        <w:gridCol w:w="4673"/>
        <w:gridCol w:w="4678"/>
      </w:tblGrid>
      <w:tr w:rsidR="00202443" w14:paraId="4A5EACE1" w14:textId="77777777" w:rsidTr="00BA41B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010035"/>
            <w:vAlign w:val="top"/>
          </w:tcPr>
          <w:p w14:paraId="5DD232A9" w14:textId="77777777" w:rsidR="00202443" w:rsidRPr="001A3B28" w:rsidRDefault="00202443" w:rsidP="00911C01">
            <w:pPr>
              <w:spacing w:after="100"/>
            </w:pPr>
            <w:r>
              <w:rPr>
                <w:rFonts w:cs="Inter ExtraBold"/>
                <w:b/>
                <w:bCs/>
                <w:sz w:val="23"/>
                <w:szCs w:val="23"/>
              </w:rPr>
              <w:t>Advantage</w:t>
            </w:r>
            <w:r w:rsidRPr="001A3B28">
              <w:rPr>
                <w:rFonts w:cs="Inter ExtraBold"/>
                <w:b/>
                <w:bCs/>
                <w:sz w:val="23"/>
                <w:szCs w:val="23"/>
              </w:rPr>
              <w:t xml:space="preserve"> </w:t>
            </w:r>
          </w:p>
        </w:tc>
        <w:tc>
          <w:tcPr>
            <w:tcW w:w="4678" w:type="dxa"/>
            <w:shd w:val="clear" w:color="auto" w:fill="010035"/>
            <w:vAlign w:val="top"/>
          </w:tcPr>
          <w:p w14:paraId="63EE5C7A" w14:textId="77777777" w:rsidR="00202443" w:rsidRPr="001A3B28" w:rsidRDefault="00202443" w:rsidP="00911C01">
            <w:pPr>
              <w:spacing w:after="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r>
      <w:tr w:rsidR="00202443" w14:paraId="09197D8A" w14:textId="77777777" w:rsidTr="00BA41B9">
        <w:trPr>
          <w:trHeight w:val="1192"/>
        </w:trPr>
        <w:tc>
          <w:tcPr>
            <w:cnfStyle w:val="001000000000" w:firstRow="0" w:lastRow="0" w:firstColumn="1" w:lastColumn="0" w:oddVBand="0" w:evenVBand="0" w:oddHBand="0" w:evenHBand="0" w:firstRowFirstColumn="0" w:firstRowLastColumn="0" w:lastRowFirstColumn="0" w:lastRowLastColumn="0"/>
            <w:tcW w:w="4673" w:type="dxa"/>
            <w:vAlign w:val="top"/>
          </w:tcPr>
          <w:p w14:paraId="2D1B178B" w14:textId="77777777" w:rsidR="00202443" w:rsidRPr="00C73A15" w:rsidRDefault="00202443" w:rsidP="00FF6E95">
            <w:pPr>
              <w:spacing w:after="100"/>
            </w:pPr>
            <w:r w:rsidRPr="00C73A15">
              <w:rPr>
                <w:rFonts w:cs="Inter"/>
                <w:color w:val="000000"/>
              </w:rPr>
              <w:t>Australia possesses a diverse and rich mineral endowment and is a significant exporter of multiple critical and strategic mineral classes.</w:t>
            </w:r>
          </w:p>
        </w:tc>
        <w:tc>
          <w:tcPr>
            <w:tcW w:w="4678" w:type="dxa"/>
            <w:vAlign w:val="top"/>
          </w:tcPr>
          <w:p w14:paraId="0363073E" w14:textId="77777777" w:rsidR="00202443" w:rsidRDefault="00202443" w:rsidP="00903B6A">
            <w:pPr>
              <w:cnfStyle w:val="000000000000" w:firstRow="0" w:lastRow="0" w:firstColumn="0" w:lastColumn="0" w:oddVBand="0" w:evenVBand="0" w:oddHBand="0" w:evenHBand="0" w:firstRowFirstColumn="0" w:firstRowLastColumn="0" w:lastRowFirstColumn="0" w:lastRowLastColumn="0"/>
            </w:pPr>
            <w:r>
              <w:t>To utilise our mineral endowment and competitive energy factor costs to reduce sovereign risks and realise more value from growing global demand.</w:t>
            </w:r>
          </w:p>
        </w:tc>
      </w:tr>
    </w:tbl>
    <w:p w14:paraId="31F1CA76" w14:textId="77777777" w:rsidR="00202443" w:rsidRDefault="00202443" w:rsidP="0094344D">
      <w:pPr>
        <w:pStyle w:val="Heading2"/>
      </w:pPr>
      <w:r>
        <w:lastRenderedPageBreak/>
        <w:t xml:space="preserve">Research strength </w:t>
      </w:r>
    </w:p>
    <w:p w14:paraId="23F0D49B" w14:textId="77777777" w:rsidR="00202443" w:rsidRDefault="00202443" w:rsidP="000C1149">
      <w:pPr>
        <w:spacing w:after="600"/>
      </w:pPr>
      <w:r>
        <w:rPr>
          <w:b/>
          <w:bCs/>
          <w:noProof/>
        </w:rPr>
        <w:drawing>
          <wp:anchor distT="0" distB="0" distL="114300" distR="114300" simplePos="0" relativeHeight="251658752" behindDoc="0" locked="0" layoutInCell="1" allowOverlap="1" wp14:anchorId="5EC2DCB3" wp14:editId="610A03D8">
            <wp:simplePos x="0" y="0"/>
            <wp:positionH relativeFrom="column">
              <wp:posOffset>22860</wp:posOffset>
            </wp:positionH>
            <wp:positionV relativeFrom="paragraph">
              <wp:posOffset>421005</wp:posOffset>
            </wp:positionV>
            <wp:extent cx="766445" cy="776605"/>
            <wp:effectExtent l="0" t="0" r="0" b="4445"/>
            <wp:wrapSquare wrapText="bothSides"/>
            <wp:docPr id="139158580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5809" name="Picture 2">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66445" cy="776605"/>
                    </a:xfrm>
                    <a:prstGeom prst="rect">
                      <a:avLst/>
                    </a:prstGeom>
                  </pic:spPr>
                </pic:pic>
              </a:graphicData>
            </a:graphic>
            <wp14:sizeRelH relativeFrom="margin">
              <wp14:pctWidth>0</wp14:pctWidth>
            </wp14:sizeRelH>
            <wp14:sizeRelV relativeFrom="margin">
              <wp14:pctHeight>0</wp14:pctHeight>
            </wp14:sizeRelV>
          </wp:anchor>
        </w:drawing>
      </w:r>
      <w:r>
        <w:t xml:space="preserve">Australia’s rank in the OECD calculated using 2018-2022 bibliometric data from Elsevier’s </w:t>
      </w:r>
      <w:proofErr w:type="spellStart"/>
      <w:r>
        <w:t>SciVal</w:t>
      </w:r>
      <w:proofErr w:type="spellEnd"/>
      <w:r>
        <w:t xml:space="preserve">. Critical &amp; strategic minerals processing was defined using custom search terms. </w:t>
      </w:r>
      <w:bookmarkEnd w:id="16"/>
      <w:bookmarkEnd w:id="17"/>
      <w:bookmarkEnd w:id="18"/>
    </w:p>
    <w:p w14:paraId="6918F993" w14:textId="77777777" w:rsidR="00202443" w:rsidRPr="00CC5CA1" w:rsidRDefault="00202443" w:rsidP="00D67246">
      <w:pPr>
        <w:spacing w:after="960"/>
        <w:ind w:left="1701"/>
        <w:rPr>
          <w:highlight w:val="yellow"/>
        </w:rPr>
      </w:pPr>
      <w:r>
        <w:rPr>
          <w:b/>
          <w:bCs/>
          <w:noProof/>
        </w:rPr>
        <w:drawing>
          <wp:anchor distT="0" distB="0" distL="114300" distR="114300" simplePos="0" relativeHeight="251662338" behindDoc="1" locked="0" layoutInCell="1" allowOverlap="1" wp14:anchorId="4533BB2E" wp14:editId="2F8D768E">
            <wp:simplePos x="0" y="0"/>
            <wp:positionH relativeFrom="margin">
              <wp:align>left</wp:align>
            </wp:positionH>
            <wp:positionV relativeFrom="paragraph">
              <wp:posOffset>510540</wp:posOffset>
            </wp:positionV>
            <wp:extent cx="788670" cy="799465"/>
            <wp:effectExtent l="0" t="0" r="0" b="635"/>
            <wp:wrapThrough wrapText="bothSides">
              <wp:wrapPolygon edited="0">
                <wp:start x="6261" y="515"/>
                <wp:lineTo x="3130" y="3088"/>
                <wp:lineTo x="0" y="7720"/>
                <wp:lineTo x="0" y="12867"/>
                <wp:lineTo x="1565" y="18014"/>
                <wp:lineTo x="6261" y="20588"/>
                <wp:lineTo x="6783" y="21102"/>
                <wp:lineTo x="13565" y="21102"/>
                <wp:lineTo x="14087" y="20588"/>
                <wp:lineTo x="18261" y="18014"/>
                <wp:lineTo x="20870" y="11838"/>
                <wp:lineTo x="20870" y="8235"/>
                <wp:lineTo x="17217" y="3603"/>
                <wp:lineTo x="14087" y="515"/>
                <wp:lineTo x="6261" y="515"/>
              </wp:wrapPolygon>
            </wp:wrapThrough>
            <wp:docPr id="3774243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24326" name="Picture 1">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sidRPr="00B569FB">
        <w:rPr>
          <w:b/>
          <w:bCs/>
        </w:rPr>
        <w:t>10</w:t>
      </w:r>
      <w:r w:rsidRPr="00B569FB">
        <w:rPr>
          <w:b/>
          <w:bCs/>
          <w:vertAlign w:val="superscript"/>
        </w:rPr>
        <w:t>th</w:t>
      </w:r>
      <w:r w:rsidRPr="00B569FB">
        <w:rPr>
          <w:b/>
          <w:bCs/>
        </w:rPr>
        <w:t xml:space="preserve"> </w:t>
      </w:r>
      <w:r>
        <w:rPr>
          <w:b/>
          <w:bCs/>
        </w:rPr>
        <w:t xml:space="preserve">– </w:t>
      </w:r>
      <w:r w:rsidRPr="00B569FB">
        <w:rPr>
          <w:b/>
          <w:bCs/>
        </w:rPr>
        <w:t>Output</w:t>
      </w:r>
      <w:r w:rsidRPr="00830166">
        <w:t>: number of scholarly papers</w:t>
      </w:r>
    </w:p>
    <w:p w14:paraId="7E2B703D" w14:textId="77777777" w:rsidR="00202443" w:rsidRPr="00CC5CA1" w:rsidRDefault="00202443" w:rsidP="00D67246">
      <w:pPr>
        <w:spacing w:after="960"/>
        <w:ind w:left="1701"/>
        <w:rPr>
          <w:highlight w:val="yellow"/>
        </w:rPr>
      </w:pPr>
      <w:r>
        <w:rPr>
          <w:b/>
          <w:bCs/>
          <w:noProof/>
        </w:rPr>
        <w:drawing>
          <wp:anchor distT="0" distB="0" distL="114300" distR="114300" simplePos="0" relativeHeight="251664386" behindDoc="0" locked="0" layoutInCell="1" allowOverlap="1" wp14:anchorId="6BB8C5AF" wp14:editId="4BBD12F7">
            <wp:simplePos x="0" y="0"/>
            <wp:positionH relativeFrom="margin">
              <wp:align>left</wp:align>
            </wp:positionH>
            <wp:positionV relativeFrom="paragraph">
              <wp:posOffset>577850</wp:posOffset>
            </wp:positionV>
            <wp:extent cx="788670" cy="799465"/>
            <wp:effectExtent l="0" t="0" r="0" b="635"/>
            <wp:wrapSquare wrapText="bothSides"/>
            <wp:docPr id="188210914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09148" name="Picture 3">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sidRPr="00B569FB">
        <w:rPr>
          <w:b/>
          <w:bCs/>
        </w:rPr>
        <w:t>1</w:t>
      </w:r>
      <w:r w:rsidRPr="00B569FB">
        <w:rPr>
          <w:b/>
          <w:bCs/>
          <w:vertAlign w:val="superscript"/>
        </w:rPr>
        <w:t>st</w:t>
      </w:r>
      <w:r w:rsidRPr="00B569FB">
        <w:rPr>
          <w:b/>
          <w:bCs/>
        </w:rPr>
        <w:t xml:space="preserve"> </w:t>
      </w:r>
      <w:r>
        <w:rPr>
          <w:b/>
          <w:bCs/>
        </w:rPr>
        <w:t xml:space="preserve">– </w:t>
      </w:r>
      <w:r w:rsidRPr="00B569FB">
        <w:rPr>
          <w:b/>
          <w:bCs/>
        </w:rPr>
        <w:t>Impact:</w:t>
      </w:r>
      <w:r w:rsidRPr="00884F60">
        <w:t xml:space="preserve"> field-weighted citation impact </w:t>
      </w:r>
    </w:p>
    <w:p w14:paraId="637DCD51" w14:textId="77777777" w:rsidR="00202443" w:rsidRDefault="00202443" w:rsidP="00D67246">
      <w:pPr>
        <w:spacing w:after="1320"/>
        <w:ind w:left="1701"/>
        <w:rPr>
          <w:b/>
          <w:bCs/>
        </w:rPr>
      </w:pPr>
      <w:r w:rsidRPr="00B569FB">
        <w:rPr>
          <w:b/>
          <w:bCs/>
        </w:rPr>
        <w:t>1</w:t>
      </w:r>
      <w:r w:rsidRPr="00B569FB">
        <w:rPr>
          <w:b/>
          <w:bCs/>
          <w:vertAlign w:val="superscript"/>
        </w:rPr>
        <w:t>st</w:t>
      </w:r>
      <w:r w:rsidRPr="00B569FB">
        <w:rPr>
          <w:b/>
          <w:bCs/>
        </w:rPr>
        <w:t xml:space="preserve"> </w:t>
      </w:r>
      <w:r>
        <w:rPr>
          <w:b/>
          <w:bCs/>
        </w:rPr>
        <w:t xml:space="preserve">– </w:t>
      </w:r>
      <w:r w:rsidRPr="00B569FB">
        <w:rPr>
          <w:b/>
          <w:bCs/>
        </w:rPr>
        <w:t>Quality:</w:t>
      </w:r>
      <w:r w:rsidRPr="00884F60">
        <w:t xml:space="preserve"> </w:t>
      </w:r>
      <w:proofErr w:type="gramStart"/>
      <w:r w:rsidRPr="00884F60">
        <w:t>amount</w:t>
      </w:r>
      <w:proofErr w:type="gramEnd"/>
      <w:r w:rsidRPr="00884F60">
        <w:t xml:space="preserve"> of papers in 10% most cited journal</w:t>
      </w:r>
    </w:p>
    <w:p w14:paraId="6C3A91B0" w14:textId="77777777" w:rsidR="00202443" w:rsidRPr="00D86090" w:rsidRDefault="00202443" w:rsidP="00D86090">
      <w:pPr>
        <w:pStyle w:val="Heading2"/>
      </w:pPr>
      <w:r>
        <w:rPr>
          <w:noProof/>
        </w:rPr>
        <w:drawing>
          <wp:anchor distT="0" distB="0" distL="114300" distR="114300" simplePos="0" relativeHeight="251661314" behindDoc="1" locked="0" layoutInCell="1" allowOverlap="1" wp14:anchorId="427290E7" wp14:editId="402DCF2D">
            <wp:simplePos x="0" y="0"/>
            <wp:positionH relativeFrom="column">
              <wp:posOffset>-190500</wp:posOffset>
            </wp:positionH>
            <wp:positionV relativeFrom="paragraph">
              <wp:posOffset>506730</wp:posOffset>
            </wp:positionV>
            <wp:extent cx="1096645" cy="1099185"/>
            <wp:effectExtent l="0" t="0" r="8255" b="5715"/>
            <wp:wrapNone/>
            <wp:docPr id="61050306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03067" name="Picture 2">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96645" cy="1099185"/>
                    </a:xfrm>
                    <a:prstGeom prst="rect">
                      <a:avLst/>
                    </a:prstGeom>
                  </pic:spPr>
                </pic:pic>
              </a:graphicData>
            </a:graphic>
          </wp:anchor>
        </w:drawing>
      </w:r>
      <w:r w:rsidRPr="00D86090">
        <w:t xml:space="preserve">IP potential </w:t>
      </w:r>
    </w:p>
    <w:p w14:paraId="1DF3F10B" w14:textId="77777777" w:rsidR="00202443" w:rsidRPr="00B569FB" w:rsidRDefault="00202443" w:rsidP="00D67246">
      <w:pPr>
        <w:ind w:left="1701"/>
        <w:rPr>
          <w:b/>
          <w:bCs/>
        </w:rPr>
      </w:pPr>
      <w:r w:rsidRPr="00B569FB">
        <w:rPr>
          <w:b/>
          <w:bCs/>
        </w:rPr>
        <w:t>91%</w:t>
      </w:r>
    </w:p>
    <w:p w14:paraId="32730040" w14:textId="77777777" w:rsidR="00202443" w:rsidRPr="00D86090" w:rsidRDefault="00202443" w:rsidP="00D67246">
      <w:pPr>
        <w:ind w:left="1701"/>
      </w:pPr>
      <w:r w:rsidRPr="00D86090">
        <w:t xml:space="preserve">Australia’s share of publications cited in patent applications compared to the OECD average expressed as a percentage. </w:t>
      </w:r>
    </w:p>
    <w:p w14:paraId="00DD5525" w14:textId="77777777" w:rsidR="00202443" w:rsidRPr="00D86090" w:rsidRDefault="00202443" w:rsidP="00D67246">
      <w:pPr>
        <w:spacing w:after="1200"/>
        <w:ind w:left="1701"/>
      </w:pPr>
      <w:r w:rsidRPr="00D86090">
        <w:t xml:space="preserve">Refers to 2018-2022 patent and publication data in the Lens database. </w:t>
      </w:r>
    </w:p>
    <w:p w14:paraId="46182144" w14:textId="77777777" w:rsidR="00202443" w:rsidRPr="00D86090" w:rsidRDefault="00202443" w:rsidP="00D86090">
      <w:pPr>
        <w:pStyle w:val="Heading2"/>
      </w:pPr>
      <w:r w:rsidRPr="00D86090">
        <w:t xml:space="preserve">Market opportunity assessment </w:t>
      </w:r>
    </w:p>
    <w:p w14:paraId="26C109B8" w14:textId="77777777" w:rsidR="00202443" w:rsidRPr="00EB7A7E" w:rsidRDefault="00202443" w:rsidP="00EB7A7E">
      <w:pPr>
        <w:pStyle w:val="ListBullet"/>
      </w:pPr>
      <w:r>
        <w:t>Australian market size of AU$56 billion in 2023</w:t>
      </w:r>
      <w:r w:rsidRPr="00173687">
        <w:rPr>
          <w:vertAlign w:val="superscript"/>
        </w:rPr>
        <w:footnoteReference w:id="2"/>
      </w:r>
      <w:r>
        <w:t xml:space="preserve"> </w:t>
      </w:r>
    </w:p>
    <w:p w14:paraId="569E98E1" w14:textId="77777777" w:rsidR="00202443" w:rsidRDefault="00202443" w:rsidP="00710C32">
      <w:pPr>
        <w:pStyle w:val="ListBullet"/>
      </w:pPr>
      <w:r>
        <w:t>Projected compound annual market growth of 13.8% from 2018-23</w:t>
      </w:r>
      <w:r w:rsidRPr="00173687">
        <w:rPr>
          <w:vertAlign w:val="superscript"/>
        </w:rPr>
        <w:footnoteReference w:id="3"/>
      </w:r>
      <w:r w:rsidRPr="00173687">
        <w:rPr>
          <w:vertAlign w:val="superscript"/>
        </w:rPr>
        <w:t xml:space="preserve"> </w:t>
      </w:r>
      <w:r>
        <w:t xml:space="preserve"> </w:t>
      </w:r>
    </w:p>
    <w:p w14:paraId="1D5BE30E" w14:textId="77777777" w:rsidR="00202443" w:rsidRPr="00710C32" w:rsidRDefault="00202443" w:rsidP="00710C32">
      <w:pPr>
        <w:pStyle w:val="ListBullet"/>
      </w:pPr>
      <w:r>
        <w:t>Projected global market size of AU$465 billion in 2022</w:t>
      </w:r>
      <w:r w:rsidRPr="00F25F96">
        <w:rPr>
          <w:vertAlign w:val="superscript"/>
        </w:rPr>
        <w:footnoteReference w:id="4"/>
      </w:r>
    </w:p>
    <w:p w14:paraId="69225877" w14:textId="77777777" w:rsidR="00202443" w:rsidRPr="00D86090" w:rsidRDefault="00202443" w:rsidP="00A10BA5">
      <w:pPr>
        <w:pStyle w:val="Heading2"/>
        <w:spacing w:before="480"/>
      </w:pPr>
      <w:r w:rsidRPr="00D86090">
        <w:lastRenderedPageBreak/>
        <w:t xml:space="preserve">Example industry problems </w:t>
      </w:r>
    </w:p>
    <w:p w14:paraId="65A8B8E7" w14:textId="77777777" w:rsidR="00202443" w:rsidRDefault="00202443" w:rsidP="004C7CFE">
      <w:r w:rsidRPr="00D86090">
        <w:t>AEA aims to provide developmental support for promising research commercialisation projects at the proof-of-concept or proof-of-scale level (TRL stages 3-7). Successful projects will scale up to meet emerging industry needs.</w:t>
      </w:r>
    </w:p>
    <w:tbl>
      <w:tblPr>
        <w:tblStyle w:val="EDU-Basic"/>
        <w:tblW w:w="0" w:type="auto"/>
        <w:tblLook w:val="04A0" w:firstRow="1" w:lastRow="0" w:firstColumn="1" w:lastColumn="0" w:noHBand="0" w:noVBand="1"/>
      </w:tblPr>
      <w:tblGrid>
        <w:gridCol w:w="3005"/>
        <w:gridCol w:w="3005"/>
        <w:gridCol w:w="3006"/>
      </w:tblGrid>
      <w:tr w:rsidR="00202443" w14:paraId="3F052C37" w14:textId="77777777" w:rsidTr="00B2557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010035"/>
            <w:vAlign w:val="top"/>
          </w:tcPr>
          <w:p w14:paraId="14CA506F" w14:textId="77777777" w:rsidR="00202443" w:rsidRPr="001A3B28" w:rsidRDefault="00202443" w:rsidP="00DD0C70">
            <w:pPr>
              <w:spacing w:after="100"/>
            </w:pPr>
            <w:r w:rsidRPr="001A3B28">
              <w:rPr>
                <w:rFonts w:cs="Inter ExtraBold"/>
                <w:b/>
                <w:bCs/>
                <w:sz w:val="23"/>
                <w:szCs w:val="23"/>
              </w:rPr>
              <w:t xml:space="preserve">Industry problem </w:t>
            </w:r>
          </w:p>
        </w:tc>
        <w:tc>
          <w:tcPr>
            <w:tcW w:w="3005" w:type="dxa"/>
            <w:shd w:val="clear" w:color="auto" w:fill="010035"/>
            <w:vAlign w:val="top"/>
          </w:tcPr>
          <w:p w14:paraId="307C75FC" w14:textId="77777777" w:rsidR="00202443" w:rsidRPr="001A3B28" w:rsidRDefault="00202443"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c>
          <w:tcPr>
            <w:tcW w:w="3006" w:type="dxa"/>
            <w:shd w:val="clear" w:color="auto" w:fill="010035"/>
            <w:vAlign w:val="top"/>
          </w:tcPr>
          <w:p w14:paraId="31C71F36" w14:textId="77777777" w:rsidR="00202443" w:rsidRPr="001A3B28" w:rsidRDefault="00202443"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Impact </w:t>
            </w:r>
          </w:p>
        </w:tc>
      </w:tr>
      <w:tr w:rsidR="00202443" w14:paraId="13B2AAA2" w14:textId="77777777" w:rsidTr="00A55EE9">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447E0C67" w14:textId="77777777" w:rsidR="00202443" w:rsidRDefault="00202443" w:rsidP="00A55EE9">
            <w:r>
              <w:t xml:space="preserve">Net zero minerals processing equipment and techniques remain relatively high cost. </w:t>
            </w:r>
          </w:p>
        </w:tc>
        <w:tc>
          <w:tcPr>
            <w:tcW w:w="3005" w:type="dxa"/>
            <w:vAlign w:val="top"/>
          </w:tcPr>
          <w:p w14:paraId="32AE9DC4"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Development of cost-competitive clean processing methods (e.g. using electric arc furnaces and hydrogen or retro-fitting existing facilities). </w:t>
            </w:r>
          </w:p>
        </w:tc>
        <w:tc>
          <w:tcPr>
            <w:tcW w:w="3006" w:type="dxa"/>
            <w:vAlign w:val="top"/>
          </w:tcPr>
          <w:p w14:paraId="6FE73394"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Supports the growth of a domestic processing industry which leverages Australia’s renewable energy advantage. </w:t>
            </w:r>
          </w:p>
        </w:tc>
      </w:tr>
      <w:tr w:rsidR="00202443" w14:paraId="67A20C72" w14:textId="77777777" w:rsidTr="00A55EE9">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4848B1B0" w14:textId="77777777" w:rsidR="00202443" w:rsidRDefault="00202443" w:rsidP="00A55EE9">
            <w:r>
              <w:t xml:space="preserve">Useful by-products in mineral processing streams are currently being under-utilised, resulting in significant waste and environmental impact. </w:t>
            </w:r>
          </w:p>
        </w:tc>
        <w:tc>
          <w:tcPr>
            <w:tcW w:w="3005" w:type="dxa"/>
            <w:vAlign w:val="top"/>
          </w:tcPr>
          <w:p w14:paraId="27D5868E"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Developing methods for extracting additional mineral products from existing processing streams (e.g. gallium from bauxite) and minimising waste. </w:t>
            </w:r>
          </w:p>
        </w:tc>
        <w:tc>
          <w:tcPr>
            <w:tcW w:w="3006" w:type="dxa"/>
            <w:vAlign w:val="top"/>
          </w:tcPr>
          <w:p w14:paraId="4597B25A"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Increase the diversity of critical and strategic minerals which can be produced from existing processes whilst reducing environmental impact. </w:t>
            </w:r>
          </w:p>
        </w:tc>
      </w:tr>
      <w:tr w:rsidR="00202443" w14:paraId="3553A137" w14:textId="77777777" w:rsidTr="00A55EE9">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4EC464E1" w14:textId="77777777" w:rsidR="00202443" w:rsidRDefault="00202443" w:rsidP="00A55EE9">
            <w:r>
              <w:t xml:space="preserve">A large amount of exploration related data remains under-utilised, including in the creation of exploration models to improve drilling productivity. </w:t>
            </w:r>
          </w:p>
        </w:tc>
        <w:tc>
          <w:tcPr>
            <w:tcW w:w="3005" w:type="dxa"/>
            <w:vAlign w:val="top"/>
          </w:tcPr>
          <w:p w14:paraId="5F5EE20E"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Developing a variety of means to interpret data (i.e. creation of models using AI) so new data is better interpreted and exploration/ extraction methods improved. </w:t>
            </w:r>
          </w:p>
        </w:tc>
        <w:tc>
          <w:tcPr>
            <w:tcW w:w="3006" w:type="dxa"/>
            <w:vAlign w:val="top"/>
          </w:tcPr>
          <w:p w14:paraId="56131684"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Higher certainty based on better data interpretation could improve greenfield profitability. </w:t>
            </w:r>
          </w:p>
        </w:tc>
      </w:tr>
      <w:tr w:rsidR="00202443" w14:paraId="33B46C71" w14:textId="77777777" w:rsidTr="00A55EE9">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645C9DF5" w14:textId="77777777" w:rsidR="00202443" w:rsidRDefault="00202443" w:rsidP="00A55EE9">
            <w:r>
              <w:t xml:space="preserve">More effective mine site automation is required to encompass more processes. </w:t>
            </w:r>
          </w:p>
        </w:tc>
        <w:tc>
          <w:tcPr>
            <w:tcW w:w="3005" w:type="dxa"/>
            <w:vAlign w:val="top"/>
          </w:tcPr>
          <w:p w14:paraId="5024BE2F"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To extend automation to include ore extraction, transport, crushing, concentration, and in some cases purification. </w:t>
            </w:r>
          </w:p>
        </w:tc>
        <w:tc>
          <w:tcPr>
            <w:tcW w:w="3006" w:type="dxa"/>
            <w:vAlign w:val="top"/>
          </w:tcPr>
          <w:p w14:paraId="2CA0E66B"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Improved autonomous processes will not only improve productivity, reduce harm to operators and environment, but also help meet ESG targets more competitively. </w:t>
            </w:r>
          </w:p>
        </w:tc>
      </w:tr>
      <w:tr w:rsidR="00202443" w14:paraId="77ED993F" w14:textId="77777777" w:rsidTr="00A55EE9">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2BB0EF2A" w14:textId="77777777" w:rsidR="00202443" w:rsidRDefault="00202443" w:rsidP="00A55EE9">
            <w:r>
              <w:t xml:space="preserve">Domestic production of solar cells and other energy transition products requires a cost-competitive and resilient supply chain for silicon. </w:t>
            </w:r>
          </w:p>
        </w:tc>
        <w:tc>
          <w:tcPr>
            <w:tcW w:w="3005" w:type="dxa"/>
            <w:vAlign w:val="top"/>
          </w:tcPr>
          <w:p w14:paraId="3DD3D601"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Developing cost-competitive and clean methods for the smelting of silicon, alongside production of </w:t>
            </w:r>
            <w:proofErr w:type="spellStart"/>
            <w:r>
              <w:t>polysilicates</w:t>
            </w:r>
            <w:proofErr w:type="spellEnd"/>
            <w:r>
              <w:t xml:space="preserve"> and early-stage value-add products like wafers and ingots. </w:t>
            </w:r>
          </w:p>
        </w:tc>
        <w:tc>
          <w:tcPr>
            <w:tcW w:w="3006" w:type="dxa"/>
            <w:vAlign w:val="top"/>
          </w:tcPr>
          <w:p w14:paraId="02C5C39A" w14:textId="77777777" w:rsidR="00202443" w:rsidRDefault="00202443" w:rsidP="00A55EE9">
            <w:pPr>
              <w:cnfStyle w:val="000000000000" w:firstRow="0" w:lastRow="0" w:firstColumn="0" w:lastColumn="0" w:oddVBand="0" w:evenVBand="0" w:oddHBand="0" w:evenHBand="0" w:firstRowFirstColumn="0" w:firstRowLastColumn="0" w:lastRowFirstColumn="0" w:lastRowLastColumn="0"/>
            </w:pPr>
            <w:r>
              <w:t xml:space="preserve">Facilitate the growth of a resilient domestic supply chain for input minerals into key energy transition products while meeting growing global demand. </w:t>
            </w:r>
          </w:p>
        </w:tc>
      </w:tr>
    </w:tbl>
    <w:p w14:paraId="711D0FD4" w14:textId="77777777" w:rsidR="00202443" w:rsidRDefault="00202443" w:rsidP="001A3B28">
      <w:pPr>
        <w:pStyle w:val="ListNumber4"/>
        <w:numPr>
          <w:ilvl w:val="0"/>
          <w:numId w:val="0"/>
        </w:numPr>
      </w:pPr>
    </w:p>
    <w:p w14:paraId="02F53839" w14:textId="77777777" w:rsidR="00202443" w:rsidRPr="00C2482C" w:rsidRDefault="00202443" w:rsidP="00C2482C">
      <w:pPr>
        <w:pStyle w:val="Heading2"/>
      </w:pPr>
      <w:r w:rsidRPr="00C2482C">
        <w:t xml:space="preserve">Other public investment options </w:t>
      </w:r>
    </w:p>
    <w:p w14:paraId="147A8E18" w14:textId="77777777" w:rsidR="00202443" w:rsidRPr="00546915" w:rsidRDefault="00C97261" w:rsidP="00202443">
      <w:pPr>
        <w:pStyle w:val="ListBullet"/>
        <w:ind w:left="360" w:hanging="360"/>
        <w:rPr>
          <w:color w:val="215E9F"/>
        </w:rPr>
      </w:pPr>
      <w:hyperlink r:id="rId46" w:history="1">
        <w:r w:rsidR="00202443" w:rsidRPr="00546915">
          <w:rPr>
            <w:rStyle w:val="Hyperlink"/>
            <w:color w:val="215E9F"/>
          </w:rPr>
          <w:t>ARENA and the Future Made in Australia Innovation Fund</w:t>
        </w:r>
      </w:hyperlink>
    </w:p>
    <w:p w14:paraId="3CA9E8B7" w14:textId="77777777" w:rsidR="00202443" w:rsidRPr="00546915" w:rsidRDefault="00C97261" w:rsidP="00202443">
      <w:pPr>
        <w:pStyle w:val="ListBullet"/>
        <w:ind w:left="360" w:hanging="360"/>
        <w:rPr>
          <w:color w:val="215E9F"/>
        </w:rPr>
      </w:pPr>
      <w:hyperlink r:id="rId47" w:history="1">
        <w:r w:rsidR="00202443" w:rsidRPr="00546915">
          <w:rPr>
            <w:rStyle w:val="Hyperlink"/>
            <w:color w:val="215E9F"/>
          </w:rPr>
          <w:t>The National Reconstruction Fund</w:t>
        </w:r>
      </w:hyperlink>
    </w:p>
    <w:p w14:paraId="5D519596" w14:textId="77777777" w:rsidR="00202443" w:rsidRPr="00546915" w:rsidRDefault="00C97261" w:rsidP="00202443">
      <w:pPr>
        <w:pStyle w:val="ListBullet"/>
        <w:ind w:left="360" w:hanging="360"/>
        <w:rPr>
          <w:color w:val="215E9F"/>
        </w:rPr>
      </w:pPr>
      <w:hyperlink r:id="rId48" w:history="1">
        <w:r w:rsidR="00202443" w:rsidRPr="00546915">
          <w:rPr>
            <w:rStyle w:val="Hyperlink"/>
            <w:color w:val="215E9F"/>
          </w:rPr>
          <w:t>Export Finance Australia &amp; the Critical Minerals Facility</w:t>
        </w:r>
      </w:hyperlink>
    </w:p>
    <w:p w14:paraId="7C21E01E" w14:textId="77777777" w:rsidR="00A10BA5" w:rsidRDefault="00A10BA5" w:rsidP="00726F51">
      <w:pPr>
        <w:spacing w:after="160"/>
        <w:rPr>
          <w:rFonts w:ascii="Calibri" w:eastAsia="Calibri" w:hAnsi="Calibri" w:cs="Arial"/>
          <w:kern w:val="2"/>
          <w14:ligatures w14:val="standardContextual"/>
        </w:rPr>
        <w:sectPr w:rsidR="00A10BA5" w:rsidSect="00202443">
          <w:footerReference w:type="default" r:id="rId49"/>
          <w:pgSz w:w="11906" w:h="16838"/>
          <w:pgMar w:top="22" w:right="1440" w:bottom="1440" w:left="1440" w:header="708" w:footer="567" w:gutter="0"/>
          <w:cols w:space="708"/>
          <w:docGrid w:linePitch="360"/>
        </w:sectPr>
      </w:pPr>
    </w:p>
    <w:p w14:paraId="27C5E06B" w14:textId="77777777" w:rsidR="00BA6AC7" w:rsidRDefault="00BA6AC7" w:rsidP="00064FD4">
      <w:pPr>
        <w:tabs>
          <w:tab w:val="left" w:pos="0"/>
        </w:tabs>
        <w:ind w:hanging="426"/>
      </w:pPr>
      <w:r>
        <w:rPr>
          <w:noProof/>
        </w:rPr>
        <w:lastRenderedPageBreak/>
        <w:drawing>
          <wp:anchor distT="0" distB="0" distL="114300" distR="114300" simplePos="0" relativeHeight="251673602" behindDoc="0" locked="0" layoutInCell="1" allowOverlap="1" wp14:anchorId="1975B172" wp14:editId="7FADF2B2">
            <wp:simplePos x="0" y="0"/>
            <wp:positionH relativeFrom="column">
              <wp:posOffset>4619625</wp:posOffset>
            </wp:positionH>
            <wp:positionV relativeFrom="paragraph">
              <wp:posOffset>236855</wp:posOffset>
            </wp:positionV>
            <wp:extent cx="1749425" cy="1772920"/>
            <wp:effectExtent l="0" t="0" r="0" b="0"/>
            <wp:wrapSquare wrapText="bothSides"/>
            <wp:docPr id="92357222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1034" name="Picture 4">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749425" cy="1772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815">
        <w:rPr>
          <w:b/>
          <w:bCs/>
          <w:noProof/>
        </w:rPr>
        <w:drawing>
          <wp:anchor distT="0" distB="0" distL="114300" distR="114300" simplePos="0" relativeHeight="251668482" behindDoc="1" locked="1" layoutInCell="1" allowOverlap="1" wp14:anchorId="50FF1AEA" wp14:editId="65B856B3">
            <wp:simplePos x="0" y="0"/>
            <wp:positionH relativeFrom="page">
              <wp:align>left</wp:align>
            </wp:positionH>
            <wp:positionV relativeFrom="page">
              <wp:posOffset>25400</wp:posOffset>
            </wp:positionV>
            <wp:extent cx="7559675" cy="1565910"/>
            <wp:effectExtent l="0" t="0" r="3175" b="0"/>
            <wp:wrapNone/>
            <wp:docPr id="1351509579" name="Picture 13515095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BE30D1B" wp14:editId="7A633A36">
            <wp:extent cx="1622002" cy="701675"/>
            <wp:effectExtent l="0" t="0" r="0" b="3175"/>
            <wp:docPr id="365933921"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12" cstate="print">
                      <a:extLst>
                        <a:ext uri="{28A0092B-C50C-407E-A947-70E740481C1C}">
                          <a14:useLocalDpi xmlns:a14="http://schemas.microsoft.com/office/drawing/2010/main" val="0"/>
                        </a:ext>
                      </a:extLst>
                    </a:blip>
                    <a:srcRect l="52996"/>
                    <a:stretch/>
                  </pic:blipFill>
                  <pic:spPr bwMode="auto">
                    <a:xfrm>
                      <a:off x="0" y="0"/>
                      <a:ext cx="1622753" cy="702000"/>
                    </a:xfrm>
                    <a:prstGeom prst="rect">
                      <a:avLst/>
                    </a:prstGeom>
                    <a:ln>
                      <a:noFill/>
                    </a:ln>
                    <a:extLst>
                      <a:ext uri="{53640926-AAD7-44D8-BBD7-CCE9431645EC}">
                        <a14:shadowObscured xmlns:a14="http://schemas.microsoft.com/office/drawing/2010/main"/>
                      </a:ext>
                    </a:extLst>
                  </pic:spPr>
                </pic:pic>
              </a:graphicData>
            </a:graphic>
          </wp:inline>
        </w:drawing>
      </w:r>
    </w:p>
    <w:p w14:paraId="6D3F2569" w14:textId="77777777" w:rsidR="00BA6AC7" w:rsidRDefault="00BA6AC7" w:rsidP="008B26F9">
      <w:pPr>
        <w:pStyle w:val="AppendixH1"/>
      </w:pPr>
      <w:r>
        <w:t>Sustainable Fuels</w:t>
      </w:r>
    </w:p>
    <w:p w14:paraId="2A8B245B" w14:textId="77777777" w:rsidR="00BA6AC7" w:rsidRDefault="00BA6AC7" w:rsidP="00C7062C">
      <w:pPr>
        <w:autoSpaceDE w:val="0"/>
        <w:autoSpaceDN w:val="0"/>
        <w:adjustRightInd w:val="0"/>
        <w:spacing w:after="0" w:line="240" w:lineRule="auto"/>
        <w:rPr>
          <w:rFonts w:ascii="Calibri" w:hAnsi="Calibri" w:cs="Calibri"/>
          <w:color w:val="215E9F"/>
          <w:u w:val="single"/>
        </w:rPr>
      </w:pPr>
    </w:p>
    <w:p w14:paraId="36FE9099" w14:textId="77777777" w:rsidR="00BA6AC7" w:rsidRPr="00772C05" w:rsidRDefault="00C97261" w:rsidP="00C7062C">
      <w:pPr>
        <w:autoSpaceDE w:val="0"/>
        <w:autoSpaceDN w:val="0"/>
        <w:adjustRightInd w:val="0"/>
        <w:spacing w:after="0" w:line="240" w:lineRule="auto"/>
        <w:rPr>
          <w:rFonts w:ascii="Calibri" w:hAnsi="Calibri" w:cs="Calibri"/>
          <w:color w:val="0F1133"/>
        </w:rPr>
      </w:pPr>
      <w:hyperlink r:id="rId51">
        <w:r w:rsidR="00BA6AC7" w:rsidRPr="71B0E502">
          <w:rPr>
            <w:color w:val="215E9F"/>
            <w:u w:val="single"/>
          </w:rPr>
          <w:t>Australia’s Economic Accelerator</w:t>
        </w:r>
      </w:hyperlink>
      <w:r w:rsidR="00BA6AC7" w:rsidRPr="71B0E502">
        <w:rPr>
          <w:rFonts w:ascii="Calibri" w:hAnsi="Calibri" w:cs="Calibri"/>
          <w:color w:val="215E9F"/>
        </w:rPr>
        <w:t xml:space="preserve"> </w:t>
      </w:r>
      <w:r w:rsidR="00BA6AC7" w:rsidRPr="71B0E502">
        <w:rPr>
          <w:rFonts w:ascii="Calibri" w:hAnsi="Calibri" w:cs="Calibri"/>
          <w:color w:val="0F1133"/>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52">
        <w:r w:rsidR="00BA6AC7" w:rsidRPr="71B0E502">
          <w:rPr>
            <w:i/>
            <w:iCs/>
            <w:color w:val="215E9F"/>
            <w:u w:val="single"/>
          </w:rPr>
          <w:t>National Reconstruction Fund Corporation (Priority Areas) Declaration 2023</w:t>
        </w:r>
      </w:hyperlink>
      <w:r w:rsidR="00BA6AC7" w:rsidRPr="71B0E502">
        <w:rPr>
          <w:i/>
          <w:iCs/>
          <w:color w:val="215E9F"/>
          <w:u w:val="single"/>
        </w:rPr>
        <w:t>)</w:t>
      </w:r>
      <w:r w:rsidR="00BA6AC7" w:rsidRPr="71B0E502">
        <w:rPr>
          <w:rFonts w:ascii="Calibri" w:hAnsi="Calibri" w:cs="Calibri"/>
          <w:color w:val="0F1133"/>
        </w:rPr>
        <w:t>. Within these priorities, the first round of grants will prioritise projects that align with one or more of 6 focus areas, including advanced manufacturing, artificial intelligence, digital agriculture, quantum, sustainable fuels, and critical and strategic minerals processing.</w:t>
      </w:r>
    </w:p>
    <w:p w14:paraId="5EFE19BE" w14:textId="77777777" w:rsidR="00BA6AC7" w:rsidRPr="00C7062C" w:rsidRDefault="00BA6AC7" w:rsidP="00C7062C">
      <w:pPr>
        <w:autoSpaceDE w:val="0"/>
        <w:autoSpaceDN w:val="0"/>
        <w:adjustRightInd w:val="0"/>
        <w:spacing w:after="0" w:line="240" w:lineRule="auto"/>
        <w:rPr>
          <w:rFonts w:ascii="Calibri" w:hAnsi="Calibri" w:cs="Calibri"/>
          <w:color w:val="0F1133"/>
        </w:rPr>
      </w:pPr>
    </w:p>
    <w:p w14:paraId="552E77E5" w14:textId="77777777" w:rsidR="00BA6AC7" w:rsidRPr="00772C05" w:rsidRDefault="00BA6AC7" w:rsidP="00C7062C">
      <w:pPr>
        <w:autoSpaceDE w:val="0"/>
        <w:autoSpaceDN w:val="0"/>
        <w:adjustRightInd w:val="0"/>
        <w:spacing w:after="0" w:line="240" w:lineRule="auto"/>
        <w:rPr>
          <w:rFonts w:ascii="Calibri" w:hAnsi="Calibri" w:cs="Calibri"/>
          <w:color w:val="0F1133"/>
        </w:rPr>
      </w:pPr>
      <w:r w:rsidRPr="00C7062C">
        <w:rPr>
          <w:rFonts w:ascii="Calibri" w:hAnsi="Calibri" w:cs="Calibri"/>
          <w:color w:val="0F1133"/>
        </w:rPr>
        <w:t>Sustainable fuels are renewable energy carriers and fuels for transport and industrial uses which present</w:t>
      </w:r>
      <w:r>
        <w:rPr>
          <w:rFonts w:ascii="Calibri" w:hAnsi="Calibri" w:cs="Calibri"/>
          <w:color w:val="0F1133"/>
        </w:rPr>
        <w:t xml:space="preserve"> </w:t>
      </w:r>
      <w:r w:rsidRPr="00C7062C">
        <w:rPr>
          <w:rFonts w:ascii="Calibri" w:hAnsi="Calibri" w:cs="Calibri"/>
          <w:color w:val="0F1133"/>
        </w:rPr>
        <w:t>sustainability benefits (primarily, quantifiable emissions reductions) when compared to traditional</w:t>
      </w:r>
      <w:r w:rsidRPr="00772C05">
        <w:rPr>
          <w:rFonts w:ascii="Calibri" w:hAnsi="Calibri" w:cs="Calibri"/>
          <w:color w:val="0F1133"/>
        </w:rPr>
        <w:t xml:space="preserve"> </w:t>
      </w:r>
      <w:r w:rsidRPr="00C7062C">
        <w:rPr>
          <w:rFonts w:ascii="Calibri" w:hAnsi="Calibri" w:cs="Calibri"/>
          <w:color w:val="0F1133"/>
        </w:rPr>
        <w:t>sources. This</w:t>
      </w:r>
      <w:r w:rsidRPr="00772C05">
        <w:rPr>
          <w:rFonts w:ascii="Calibri" w:hAnsi="Calibri" w:cs="Calibri"/>
          <w:color w:val="0F1133"/>
        </w:rPr>
        <w:t xml:space="preserve"> </w:t>
      </w:r>
      <w:r w:rsidRPr="00C7062C">
        <w:rPr>
          <w:rFonts w:ascii="Calibri" w:hAnsi="Calibri" w:cs="Calibri"/>
          <w:color w:val="0F1133"/>
        </w:rPr>
        <w:t>includes particular focus on the production of renewable hydrogen and low carbon liquid</w:t>
      </w:r>
      <w:r w:rsidRPr="00772C05">
        <w:rPr>
          <w:rFonts w:ascii="Calibri" w:hAnsi="Calibri" w:cs="Calibri"/>
          <w:color w:val="0F1133"/>
        </w:rPr>
        <w:t xml:space="preserve"> </w:t>
      </w:r>
      <w:r w:rsidRPr="00C7062C">
        <w:rPr>
          <w:rFonts w:ascii="Calibri" w:hAnsi="Calibri" w:cs="Calibri"/>
          <w:color w:val="0F1133"/>
        </w:rPr>
        <w:t>fuels (including synthetic</w:t>
      </w:r>
      <w:r w:rsidRPr="00772C05">
        <w:rPr>
          <w:rFonts w:ascii="Calibri" w:hAnsi="Calibri" w:cs="Calibri"/>
          <w:color w:val="0F1133"/>
        </w:rPr>
        <w:t xml:space="preserve"> </w:t>
      </w:r>
      <w:r w:rsidRPr="00C7062C">
        <w:rPr>
          <w:rFonts w:ascii="Calibri" w:hAnsi="Calibri" w:cs="Calibri"/>
          <w:color w:val="0F1133"/>
        </w:rPr>
        <w:t>fuels such as drop-in sustainable aviation fuel (SAF) and production using</w:t>
      </w:r>
      <w:r w:rsidRPr="00772C05">
        <w:rPr>
          <w:rFonts w:ascii="Calibri" w:hAnsi="Calibri" w:cs="Calibri"/>
          <w:color w:val="0F1133"/>
        </w:rPr>
        <w:t xml:space="preserve"> </w:t>
      </w:r>
      <w:r w:rsidRPr="00C7062C">
        <w:rPr>
          <w:rFonts w:ascii="Calibri" w:hAnsi="Calibri" w:cs="Calibri"/>
          <w:color w:val="0F1133"/>
        </w:rPr>
        <w:t>existing waste streams). As well as</w:t>
      </w:r>
      <w:r w:rsidRPr="00772C05">
        <w:rPr>
          <w:rFonts w:ascii="Calibri" w:hAnsi="Calibri" w:cs="Calibri"/>
          <w:color w:val="0F1133"/>
        </w:rPr>
        <w:t xml:space="preserve"> </w:t>
      </w:r>
      <w:r w:rsidRPr="00C7062C">
        <w:rPr>
          <w:rFonts w:ascii="Calibri" w:hAnsi="Calibri" w:cs="Calibri"/>
          <w:color w:val="0F1133"/>
        </w:rPr>
        <w:t>innovations in the transport, storage, and industrial applications of</w:t>
      </w:r>
      <w:r w:rsidRPr="00772C05">
        <w:rPr>
          <w:rFonts w:ascii="Calibri" w:hAnsi="Calibri" w:cs="Calibri"/>
          <w:color w:val="0F1133"/>
        </w:rPr>
        <w:t xml:space="preserve"> these fuels, including in the processing of green metals.</w:t>
      </w:r>
    </w:p>
    <w:p w14:paraId="72BA7F47" w14:textId="77777777" w:rsidR="00BA6AC7" w:rsidRPr="009C05D4" w:rsidRDefault="00BA6AC7" w:rsidP="009C05D4">
      <w:pPr>
        <w:pStyle w:val="Heading2"/>
      </w:pPr>
      <w:r w:rsidRPr="009C05D4">
        <w:t xml:space="preserve">National priority </w:t>
      </w:r>
    </w:p>
    <w:tbl>
      <w:tblPr>
        <w:tblStyle w:val="TableGrid"/>
        <w:tblW w:w="9209" w:type="dxa"/>
        <w:tblLook w:val="04A0" w:firstRow="1" w:lastRow="0" w:firstColumn="1" w:lastColumn="0" w:noHBand="0" w:noVBand="1"/>
      </w:tblPr>
      <w:tblGrid>
        <w:gridCol w:w="3544"/>
        <w:gridCol w:w="5665"/>
      </w:tblGrid>
      <w:tr w:rsidR="00BA6AC7" w14:paraId="339A04B1" w14:textId="77777777" w:rsidTr="00D25156">
        <w:tc>
          <w:tcPr>
            <w:tcW w:w="3544" w:type="dxa"/>
            <w:tcBorders>
              <w:top w:val="nil"/>
              <w:left w:val="nil"/>
              <w:bottom w:val="nil"/>
              <w:right w:val="nil"/>
            </w:tcBorders>
          </w:tcPr>
          <w:p w14:paraId="77B1C6FE" w14:textId="77777777" w:rsidR="00BA6AC7" w:rsidRDefault="00BA6AC7" w:rsidP="009C05D4">
            <w:pPr>
              <w:pStyle w:val="Heading2"/>
            </w:pPr>
            <w:r w:rsidRPr="005D02EA">
              <w:rPr>
                <w:noProof/>
              </w:rPr>
              <w:drawing>
                <wp:anchor distT="0" distB="0" distL="114300" distR="114300" simplePos="0" relativeHeight="251674626" behindDoc="1" locked="0" layoutInCell="1" allowOverlap="1" wp14:anchorId="7FB9E348" wp14:editId="19514E7A">
                  <wp:simplePos x="0" y="0"/>
                  <wp:positionH relativeFrom="column">
                    <wp:posOffset>512445</wp:posOffset>
                  </wp:positionH>
                  <wp:positionV relativeFrom="paragraph">
                    <wp:posOffset>38100</wp:posOffset>
                  </wp:positionV>
                  <wp:extent cx="971550" cy="971550"/>
                  <wp:effectExtent l="0" t="0" r="0" b="0"/>
                  <wp:wrapTight wrapText="bothSides">
                    <wp:wrapPolygon edited="0">
                      <wp:start x="9318" y="0"/>
                      <wp:lineTo x="6353" y="847"/>
                      <wp:lineTo x="424" y="5082"/>
                      <wp:lineTo x="424" y="16094"/>
                      <wp:lineTo x="6776" y="20753"/>
                      <wp:lineTo x="9318" y="21176"/>
                      <wp:lineTo x="12282" y="21176"/>
                      <wp:lineTo x="14824" y="20753"/>
                      <wp:lineTo x="21176" y="16094"/>
                      <wp:lineTo x="21176" y="5082"/>
                      <wp:lineTo x="15247" y="847"/>
                      <wp:lineTo x="11859" y="0"/>
                      <wp:lineTo x="9318" y="0"/>
                    </wp:wrapPolygon>
                  </wp:wrapTight>
                  <wp:docPr id="765278510" name="Graphic 1" descr="Renewables and low emission technolog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8510" name="Graphic 1" descr="Renewables and low emission technology icon"/>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971550" cy="971550"/>
                          </a:xfrm>
                          <a:prstGeom prst="rect">
                            <a:avLst/>
                          </a:prstGeom>
                        </pic:spPr>
                      </pic:pic>
                    </a:graphicData>
                  </a:graphic>
                  <wp14:sizeRelH relativeFrom="margin">
                    <wp14:pctWidth>0</wp14:pctWidth>
                  </wp14:sizeRelH>
                  <wp14:sizeRelV relativeFrom="margin">
                    <wp14:pctHeight>0</wp14:pctHeight>
                  </wp14:sizeRelV>
                </wp:anchor>
              </w:drawing>
            </w:r>
            <w:r w:rsidRPr="00855A8B">
              <w:rPr>
                <w:noProof/>
              </w:rPr>
              <w:drawing>
                <wp:anchor distT="0" distB="0" distL="114300" distR="114300" simplePos="0" relativeHeight="251675650" behindDoc="0" locked="0" layoutInCell="1" allowOverlap="1" wp14:anchorId="5F3C4D00" wp14:editId="2762D90F">
                  <wp:simplePos x="0" y="0"/>
                  <wp:positionH relativeFrom="column">
                    <wp:posOffset>1092835</wp:posOffset>
                  </wp:positionH>
                  <wp:positionV relativeFrom="paragraph">
                    <wp:posOffset>864235</wp:posOffset>
                  </wp:positionV>
                  <wp:extent cx="972000" cy="972000"/>
                  <wp:effectExtent l="0" t="0" r="0" b="0"/>
                  <wp:wrapSquare wrapText="bothSides"/>
                  <wp:docPr id="1370208386" name="Graphic 1" descr="Agriculture, forestry and fisher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08386" name="Graphic 1" descr="Agriculture, forestry and fisheries icon"/>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972000" cy="972000"/>
                          </a:xfrm>
                          <a:prstGeom prst="rect">
                            <a:avLst/>
                          </a:prstGeom>
                        </pic:spPr>
                      </pic:pic>
                    </a:graphicData>
                  </a:graphic>
                  <wp14:sizeRelH relativeFrom="margin">
                    <wp14:pctWidth>0</wp14:pctWidth>
                  </wp14:sizeRelH>
                  <wp14:sizeRelV relativeFrom="margin">
                    <wp14:pctHeight>0</wp14:pctHeight>
                  </wp14:sizeRelV>
                </wp:anchor>
              </w:drawing>
            </w:r>
            <w:r w:rsidRPr="005D02EA">
              <w:rPr>
                <w:noProof/>
              </w:rPr>
              <w:drawing>
                <wp:anchor distT="0" distB="0" distL="114300" distR="114300" simplePos="0" relativeHeight="251676674" behindDoc="0" locked="0" layoutInCell="1" allowOverlap="1" wp14:anchorId="162DE90C" wp14:editId="7A52279B">
                  <wp:simplePos x="0" y="0"/>
                  <wp:positionH relativeFrom="column">
                    <wp:posOffset>-68580</wp:posOffset>
                  </wp:positionH>
                  <wp:positionV relativeFrom="paragraph">
                    <wp:posOffset>874395</wp:posOffset>
                  </wp:positionV>
                  <wp:extent cx="972000" cy="972000"/>
                  <wp:effectExtent l="0" t="0" r="0" b="0"/>
                  <wp:wrapSquare wrapText="bothSides"/>
                  <wp:docPr id="258228143" name="Graphic 1" descr="Transpo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28143" name="Graphic 1" descr="Transport icon"/>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972000" cy="97200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tc>
        <w:tc>
          <w:tcPr>
            <w:tcW w:w="5665" w:type="dxa"/>
            <w:tcBorders>
              <w:top w:val="nil"/>
              <w:left w:val="nil"/>
              <w:bottom w:val="nil"/>
              <w:right w:val="nil"/>
            </w:tcBorders>
          </w:tcPr>
          <w:p w14:paraId="7A2BF661" w14:textId="77777777" w:rsidR="00BA6AC7" w:rsidRPr="009C05D4" w:rsidRDefault="00BA6AC7" w:rsidP="00D25156">
            <w:r w:rsidRPr="0040442B">
              <w:t>Strong policy priority that aligns with Australia’s resource</w:t>
            </w:r>
            <w:r>
              <w:t xml:space="preserve"> </w:t>
            </w:r>
            <w:r w:rsidRPr="0040442B">
              <w:t>advantage and feeds into other priority sectors. Sustainable</w:t>
            </w:r>
            <w:r>
              <w:t xml:space="preserve"> </w:t>
            </w:r>
            <w:r w:rsidRPr="0040442B">
              <w:t>fuels align with the national priority areas as an opportunity to</w:t>
            </w:r>
            <w:r>
              <w:t xml:space="preserve"> </w:t>
            </w:r>
            <w:r w:rsidRPr="0040442B">
              <w:t>capitalise on</w:t>
            </w:r>
            <w:r>
              <w:t xml:space="preserve"> </w:t>
            </w:r>
            <w:r w:rsidRPr="0040442B">
              <w:t>domestic and global energy trends and support</w:t>
            </w:r>
            <w:r>
              <w:t xml:space="preserve"> </w:t>
            </w:r>
            <w:r w:rsidRPr="0040442B">
              <w:t>realisation of net zero emissions targets</w:t>
            </w:r>
            <w:r w:rsidRPr="009C05D4">
              <w:t xml:space="preserve">. </w:t>
            </w:r>
          </w:p>
          <w:p w14:paraId="0397EE0A" w14:textId="77777777" w:rsidR="00BA6AC7" w:rsidRPr="00697433" w:rsidRDefault="00C97261" w:rsidP="00BA6AC7">
            <w:pPr>
              <w:pStyle w:val="ListParagraph"/>
              <w:numPr>
                <w:ilvl w:val="0"/>
                <w:numId w:val="61"/>
              </w:numPr>
              <w:autoSpaceDE w:val="0"/>
              <w:autoSpaceDN w:val="0"/>
              <w:adjustRightInd w:val="0"/>
              <w:spacing w:after="0"/>
              <w:rPr>
                <w:color w:val="215E9F"/>
                <w:u w:val="single"/>
              </w:rPr>
            </w:pPr>
            <w:hyperlink r:id="rId59" w:history="1">
              <w:r w:rsidR="00BA6AC7" w:rsidRPr="00697433">
                <w:rPr>
                  <w:color w:val="215E9F"/>
                  <w:u w:val="single"/>
                </w:rPr>
                <w:t>National Hydrogen Strategy</w:t>
              </w:r>
            </w:hyperlink>
          </w:p>
          <w:p w14:paraId="7693A06A" w14:textId="77777777" w:rsidR="00BA6AC7" w:rsidRPr="00697433" w:rsidRDefault="00C97261" w:rsidP="00BA6AC7">
            <w:pPr>
              <w:pStyle w:val="ListParagraph"/>
              <w:numPr>
                <w:ilvl w:val="0"/>
                <w:numId w:val="61"/>
              </w:numPr>
              <w:autoSpaceDE w:val="0"/>
              <w:autoSpaceDN w:val="0"/>
              <w:adjustRightInd w:val="0"/>
              <w:spacing w:after="0"/>
              <w:rPr>
                <w:color w:val="215E9F"/>
                <w:u w:val="single"/>
              </w:rPr>
            </w:pPr>
            <w:hyperlink r:id="rId60" w:history="1">
              <w:r w:rsidR="00BA6AC7" w:rsidRPr="00697433">
                <w:rPr>
                  <w:color w:val="215E9F"/>
                  <w:u w:val="single"/>
                </w:rPr>
                <w:t>List of Critical Technologies in the National Interest</w:t>
              </w:r>
            </w:hyperlink>
          </w:p>
          <w:p w14:paraId="187DF7D9" w14:textId="77777777" w:rsidR="00BA6AC7" w:rsidRPr="00D25156" w:rsidRDefault="00C97261" w:rsidP="00BA6AC7">
            <w:pPr>
              <w:pStyle w:val="ListParagraph"/>
              <w:numPr>
                <w:ilvl w:val="0"/>
                <w:numId w:val="61"/>
              </w:numPr>
              <w:autoSpaceDE w:val="0"/>
              <w:autoSpaceDN w:val="0"/>
              <w:adjustRightInd w:val="0"/>
              <w:spacing w:after="0"/>
              <w:rPr>
                <w:color w:val="215E9F"/>
                <w:u w:val="single"/>
              </w:rPr>
            </w:pPr>
            <w:hyperlink r:id="rId61" w:history="1">
              <w:r w:rsidR="00BA6AC7" w:rsidRPr="00697433">
                <w:rPr>
                  <w:color w:val="215E9F"/>
                  <w:u w:val="single"/>
                </w:rPr>
                <w:t xml:space="preserve">Hydrogen </w:t>
              </w:r>
              <w:proofErr w:type="spellStart"/>
              <w:r w:rsidR="00BA6AC7" w:rsidRPr="00697433">
                <w:rPr>
                  <w:color w:val="215E9F"/>
                  <w:u w:val="single"/>
                </w:rPr>
                <w:t>Headstart</w:t>
              </w:r>
              <w:proofErr w:type="spellEnd"/>
              <w:r w:rsidR="00BA6AC7" w:rsidRPr="00697433">
                <w:rPr>
                  <w:color w:val="215E9F"/>
                  <w:u w:val="single"/>
                </w:rPr>
                <w:t xml:space="preserve"> program</w:t>
              </w:r>
            </w:hyperlink>
            <w:r w:rsidR="00BA6AC7" w:rsidRPr="00697433">
              <w:rPr>
                <w:color w:val="215E9F"/>
                <w:u w:val="single"/>
              </w:rPr>
              <w:t xml:space="preserve"> </w:t>
            </w:r>
          </w:p>
        </w:tc>
      </w:tr>
    </w:tbl>
    <w:p w14:paraId="36B2D15E" w14:textId="77777777" w:rsidR="00BA6AC7" w:rsidRDefault="00BA6AC7" w:rsidP="00A575A4">
      <w:pPr>
        <w:pStyle w:val="ListParagraph"/>
        <w:autoSpaceDE w:val="0"/>
        <w:autoSpaceDN w:val="0"/>
        <w:adjustRightInd w:val="0"/>
        <w:spacing w:after="0" w:line="240" w:lineRule="auto"/>
        <w:rPr>
          <w:color w:val="215E9F"/>
          <w:u w:val="single"/>
        </w:rPr>
      </w:pPr>
    </w:p>
    <w:p w14:paraId="0516DF8A" w14:textId="77777777" w:rsidR="00BA6AC7" w:rsidRPr="00A575A4" w:rsidRDefault="00BA6AC7" w:rsidP="00A575A4">
      <w:pPr>
        <w:pStyle w:val="ListParagraph"/>
        <w:autoSpaceDE w:val="0"/>
        <w:autoSpaceDN w:val="0"/>
        <w:adjustRightInd w:val="0"/>
        <w:spacing w:after="0" w:line="240" w:lineRule="auto"/>
        <w:rPr>
          <w:color w:val="215E9F"/>
          <w:u w:val="single"/>
        </w:rPr>
      </w:pPr>
    </w:p>
    <w:tbl>
      <w:tblPr>
        <w:tblStyle w:val="EDU-Basic"/>
        <w:tblW w:w="9351" w:type="dxa"/>
        <w:tblInd w:w="-147" w:type="dxa"/>
        <w:tblLook w:val="04A0" w:firstRow="1" w:lastRow="0" w:firstColumn="1" w:lastColumn="0" w:noHBand="0" w:noVBand="1"/>
      </w:tblPr>
      <w:tblGrid>
        <w:gridCol w:w="4673"/>
        <w:gridCol w:w="4678"/>
      </w:tblGrid>
      <w:tr w:rsidR="00BA6AC7" w14:paraId="3CEEDB70" w14:textId="77777777" w:rsidTr="008D55C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010035"/>
            <w:vAlign w:val="top"/>
          </w:tcPr>
          <w:p w14:paraId="598A632F" w14:textId="77777777" w:rsidR="00BA6AC7" w:rsidRPr="001A3B28" w:rsidRDefault="00BA6AC7" w:rsidP="00D114F5">
            <w:pPr>
              <w:spacing w:after="100"/>
            </w:pPr>
            <w:r>
              <w:rPr>
                <w:rFonts w:cs="Inter ExtraBold"/>
                <w:b/>
                <w:bCs/>
                <w:sz w:val="23"/>
                <w:szCs w:val="23"/>
              </w:rPr>
              <w:t>Advantage</w:t>
            </w:r>
            <w:r w:rsidRPr="001A3B28">
              <w:rPr>
                <w:rFonts w:cs="Inter ExtraBold"/>
                <w:b/>
                <w:bCs/>
                <w:sz w:val="23"/>
                <w:szCs w:val="23"/>
              </w:rPr>
              <w:t xml:space="preserve"> </w:t>
            </w:r>
          </w:p>
        </w:tc>
        <w:tc>
          <w:tcPr>
            <w:tcW w:w="4678" w:type="dxa"/>
            <w:shd w:val="clear" w:color="auto" w:fill="010035"/>
            <w:vAlign w:val="top"/>
          </w:tcPr>
          <w:p w14:paraId="2D0BE8CD" w14:textId="77777777" w:rsidR="00BA6AC7" w:rsidRPr="001A3B28" w:rsidRDefault="00BA6AC7" w:rsidP="00D114F5">
            <w:pPr>
              <w:spacing w:after="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r>
      <w:tr w:rsidR="00BA6AC7" w14:paraId="02CEB235" w14:textId="77777777" w:rsidTr="008D55CD">
        <w:trPr>
          <w:trHeight w:val="1375"/>
        </w:trPr>
        <w:tc>
          <w:tcPr>
            <w:cnfStyle w:val="001000000000" w:firstRow="0" w:lastRow="0" w:firstColumn="1" w:lastColumn="0" w:oddVBand="0" w:evenVBand="0" w:oddHBand="0" w:evenHBand="0" w:firstRowFirstColumn="0" w:firstRowLastColumn="0" w:lastRowFirstColumn="0" w:lastRowLastColumn="0"/>
            <w:tcW w:w="4673" w:type="dxa"/>
            <w:vAlign w:val="top"/>
          </w:tcPr>
          <w:p w14:paraId="32651ECC" w14:textId="77777777" w:rsidR="00BA6AC7" w:rsidRPr="00AB38D1" w:rsidRDefault="00BA6AC7" w:rsidP="00D114F5">
            <w:pPr>
              <w:spacing w:after="0"/>
              <w:rPr>
                <w:rFonts w:cs="Inter"/>
                <w:color w:val="000000"/>
              </w:rPr>
            </w:pPr>
            <w:r w:rsidRPr="00AB38D1">
              <w:rPr>
                <w:rFonts w:cs="Inter"/>
                <w:color w:val="000000"/>
              </w:rPr>
              <w:t>Australia possesses strong renewable energy</w:t>
            </w:r>
            <w:r>
              <w:rPr>
                <w:rFonts w:cs="Inter"/>
                <w:color w:val="000000"/>
              </w:rPr>
              <w:t xml:space="preserve"> </w:t>
            </w:r>
            <w:r w:rsidRPr="00AB38D1">
              <w:rPr>
                <w:rFonts w:cs="Inter"/>
                <w:color w:val="000000"/>
              </w:rPr>
              <w:t>resources and a wide range of feedstocks for</w:t>
            </w:r>
            <w:r>
              <w:rPr>
                <w:rFonts w:cs="Inter"/>
                <w:color w:val="000000"/>
              </w:rPr>
              <w:t xml:space="preserve"> </w:t>
            </w:r>
            <w:r w:rsidRPr="00AB38D1">
              <w:rPr>
                <w:rFonts w:cs="Inter"/>
                <w:color w:val="000000"/>
              </w:rPr>
              <w:t>alternative fuel chemistries alongside existing</w:t>
            </w:r>
            <w:r>
              <w:rPr>
                <w:rFonts w:cs="Inter"/>
                <w:color w:val="000000"/>
              </w:rPr>
              <w:t xml:space="preserve"> </w:t>
            </w:r>
            <w:r w:rsidRPr="00AB38D1">
              <w:rPr>
                <w:rFonts w:cs="Inter"/>
                <w:color w:val="000000"/>
              </w:rPr>
              <w:t>conventional infrastructure and industry capability.</w:t>
            </w:r>
          </w:p>
        </w:tc>
        <w:tc>
          <w:tcPr>
            <w:tcW w:w="4678" w:type="dxa"/>
            <w:vAlign w:val="top"/>
          </w:tcPr>
          <w:p w14:paraId="6C5B3A0B"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205D7C">
              <w:t>Build domestic sustainable fuel and hydrogen</w:t>
            </w:r>
            <w:r>
              <w:t xml:space="preserve"> </w:t>
            </w:r>
            <w:r w:rsidRPr="00205D7C">
              <w:t>industries which can support decarbonisation</w:t>
            </w:r>
            <w:r>
              <w:t xml:space="preserve"> </w:t>
            </w:r>
            <w:r w:rsidRPr="00205D7C">
              <w:t>of hard-to-abate sectors while capturing value</w:t>
            </w:r>
            <w:r>
              <w:t xml:space="preserve"> </w:t>
            </w:r>
            <w:r w:rsidRPr="00205D7C">
              <w:t>from the global energy transition.</w:t>
            </w:r>
          </w:p>
        </w:tc>
      </w:tr>
    </w:tbl>
    <w:p w14:paraId="4E97589F" w14:textId="77777777" w:rsidR="00BA6AC7" w:rsidRDefault="00BA6AC7" w:rsidP="0094344D">
      <w:pPr>
        <w:pStyle w:val="Heading2"/>
      </w:pPr>
      <w:r>
        <w:lastRenderedPageBreak/>
        <w:t xml:space="preserve">Research strength </w:t>
      </w:r>
    </w:p>
    <w:p w14:paraId="1F2F9C8A" w14:textId="77777777" w:rsidR="00BA6AC7" w:rsidRDefault="00BA6AC7" w:rsidP="00FE3A9F">
      <w:pPr>
        <w:spacing w:after="0"/>
      </w:pPr>
      <w:r w:rsidRPr="00FE3A9F">
        <w:t xml:space="preserve">Australia’s rank in the OECD calculated using 2018-2022 bibliometric data from Elsevier’s </w:t>
      </w:r>
      <w:proofErr w:type="spellStart"/>
      <w:r w:rsidRPr="00FE3A9F">
        <w:t>SciVal</w:t>
      </w:r>
      <w:proofErr w:type="spellEnd"/>
      <w:r w:rsidRPr="00FE3A9F">
        <w:t>.</w:t>
      </w:r>
    </w:p>
    <w:p w14:paraId="00951D46" w14:textId="77777777" w:rsidR="00BA6AC7" w:rsidRDefault="00BA6AC7" w:rsidP="00FE3A9F">
      <w:pPr>
        <w:spacing w:after="600"/>
      </w:pPr>
      <w:r>
        <w:rPr>
          <w:b/>
          <w:bCs/>
          <w:noProof/>
        </w:rPr>
        <w:drawing>
          <wp:anchor distT="0" distB="0" distL="114300" distR="114300" simplePos="0" relativeHeight="251671554" behindDoc="0" locked="0" layoutInCell="1" allowOverlap="1" wp14:anchorId="3CC652A1" wp14:editId="3720A4E8">
            <wp:simplePos x="0" y="0"/>
            <wp:positionH relativeFrom="column">
              <wp:posOffset>3810</wp:posOffset>
            </wp:positionH>
            <wp:positionV relativeFrom="paragraph">
              <wp:posOffset>299085</wp:posOffset>
            </wp:positionV>
            <wp:extent cx="766445" cy="776605"/>
            <wp:effectExtent l="0" t="0" r="0" b="4445"/>
            <wp:wrapSquare wrapText="bothSides"/>
            <wp:docPr id="38454361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5809" name="Picture 2">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66445" cy="776605"/>
                    </a:xfrm>
                    <a:prstGeom prst="rect">
                      <a:avLst/>
                    </a:prstGeom>
                  </pic:spPr>
                </pic:pic>
              </a:graphicData>
            </a:graphic>
            <wp14:sizeRelH relativeFrom="margin">
              <wp14:pctWidth>0</wp14:pctWidth>
            </wp14:sizeRelH>
            <wp14:sizeRelV relativeFrom="margin">
              <wp14:pctHeight>0</wp14:pctHeight>
            </wp14:sizeRelV>
          </wp:anchor>
        </w:drawing>
      </w:r>
      <w:r>
        <w:t>S</w:t>
      </w:r>
      <w:r w:rsidRPr="00FE3A9F">
        <w:t xml:space="preserve">ustainable fuels </w:t>
      </w:r>
      <w:proofErr w:type="gramStart"/>
      <w:r w:rsidRPr="00FE3A9F">
        <w:t>was</w:t>
      </w:r>
      <w:proofErr w:type="gramEnd"/>
      <w:r w:rsidRPr="00FE3A9F">
        <w:t xml:space="preserve"> defined using custom search terms.</w:t>
      </w:r>
      <w:r>
        <w:t xml:space="preserve"> </w:t>
      </w:r>
    </w:p>
    <w:p w14:paraId="7390B050" w14:textId="77777777" w:rsidR="00BA6AC7" w:rsidRPr="00CC5CA1" w:rsidRDefault="00BA6AC7" w:rsidP="00D67246">
      <w:pPr>
        <w:spacing w:after="960"/>
        <w:ind w:left="1701"/>
        <w:rPr>
          <w:highlight w:val="yellow"/>
        </w:rPr>
      </w:pPr>
      <w:r>
        <w:rPr>
          <w:b/>
          <w:bCs/>
          <w:noProof/>
        </w:rPr>
        <w:drawing>
          <wp:anchor distT="0" distB="0" distL="114300" distR="114300" simplePos="0" relativeHeight="251670530" behindDoc="1" locked="0" layoutInCell="1" allowOverlap="1" wp14:anchorId="44FB9B27" wp14:editId="72475F51">
            <wp:simplePos x="0" y="0"/>
            <wp:positionH relativeFrom="margin">
              <wp:posOffset>-3175</wp:posOffset>
            </wp:positionH>
            <wp:positionV relativeFrom="paragraph">
              <wp:posOffset>544195</wp:posOffset>
            </wp:positionV>
            <wp:extent cx="788670" cy="799465"/>
            <wp:effectExtent l="0" t="0" r="0" b="635"/>
            <wp:wrapThrough wrapText="bothSides">
              <wp:wrapPolygon edited="0">
                <wp:start x="8870" y="0"/>
                <wp:lineTo x="5217" y="1544"/>
                <wp:lineTo x="0" y="6176"/>
                <wp:lineTo x="0" y="12867"/>
                <wp:lineTo x="1043" y="17500"/>
                <wp:lineTo x="5739" y="20588"/>
                <wp:lineTo x="6261" y="21102"/>
                <wp:lineTo x="13565" y="21102"/>
                <wp:lineTo x="14087" y="20588"/>
                <wp:lineTo x="18783" y="17500"/>
                <wp:lineTo x="20870" y="11323"/>
                <wp:lineTo x="20870" y="6691"/>
                <wp:lineTo x="15130" y="1544"/>
                <wp:lineTo x="11478" y="0"/>
                <wp:lineTo x="8870" y="0"/>
              </wp:wrapPolygon>
            </wp:wrapThrough>
            <wp:docPr id="9847295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24326" name="Picture 1">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88670" cy="799465"/>
                    </a:xfrm>
                    <a:prstGeom prst="rect">
                      <a:avLst/>
                    </a:prstGeom>
                  </pic:spPr>
                </pic:pic>
              </a:graphicData>
            </a:graphic>
            <wp14:sizeRelH relativeFrom="margin">
              <wp14:pctWidth>0</wp14:pctWidth>
            </wp14:sizeRelH>
            <wp14:sizeRelV relativeFrom="margin">
              <wp14:pctHeight>0</wp14:pctHeight>
            </wp14:sizeRelV>
          </wp:anchor>
        </w:drawing>
      </w:r>
      <w:r>
        <w:rPr>
          <w:b/>
          <w:bCs/>
        </w:rPr>
        <w:t>8</w:t>
      </w:r>
      <w:r w:rsidRPr="00B569FB">
        <w:rPr>
          <w:b/>
          <w:bCs/>
          <w:vertAlign w:val="superscript"/>
        </w:rPr>
        <w:t>th</w:t>
      </w:r>
      <w:r w:rsidRPr="00B569FB">
        <w:rPr>
          <w:b/>
          <w:bCs/>
        </w:rPr>
        <w:t xml:space="preserve"> </w:t>
      </w:r>
      <w:r>
        <w:rPr>
          <w:b/>
          <w:bCs/>
        </w:rPr>
        <w:t xml:space="preserve">– </w:t>
      </w:r>
      <w:r w:rsidRPr="00B569FB">
        <w:rPr>
          <w:b/>
          <w:bCs/>
        </w:rPr>
        <w:t>Output</w:t>
      </w:r>
      <w:r w:rsidRPr="00830166">
        <w:t>: number of scholarly papers</w:t>
      </w:r>
    </w:p>
    <w:p w14:paraId="10C8DB83" w14:textId="77777777" w:rsidR="00BA6AC7" w:rsidRPr="00CC5CA1" w:rsidRDefault="00BA6AC7" w:rsidP="00D67246">
      <w:pPr>
        <w:spacing w:after="960"/>
        <w:ind w:left="1701"/>
        <w:rPr>
          <w:highlight w:val="yellow"/>
        </w:rPr>
      </w:pPr>
      <w:r>
        <w:rPr>
          <w:b/>
          <w:bCs/>
          <w:noProof/>
        </w:rPr>
        <w:drawing>
          <wp:anchor distT="0" distB="0" distL="114300" distR="114300" simplePos="0" relativeHeight="251672578" behindDoc="0" locked="0" layoutInCell="1" allowOverlap="1" wp14:anchorId="47FD32DD" wp14:editId="026EDE00">
            <wp:simplePos x="0" y="0"/>
            <wp:positionH relativeFrom="margin">
              <wp:align>left</wp:align>
            </wp:positionH>
            <wp:positionV relativeFrom="paragraph">
              <wp:posOffset>577850</wp:posOffset>
            </wp:positionV>
            <wp:extent cx="788670" cy="799465"/>
            <wp:effectExtent l="0" t="0" r="0" b="635"/>
            <wp:wrapSquare wrapText="bothSides"/>
            <wp:docPr id="196995681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09148" name="Picture 3">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sidRPr="00B569FB">
        <w:rPr>
          <w:b/>
          <w:bCs/>
        </w:rPr>
        <w:t>1</w:t>
      </w:r>
      <w:r w:rsidRPr="00B569FB">
        <w:rPr>
          <w:b/>
          <w:bCs/>
          <w:vertAlign w:val="superscript"/>
        </w:rPr>
        <w:t>st</w:t>
      </w:r>
      <w:r w:rsidRPr="00B569FB">
        <w:rPr>
          <w:b/>
          <w:bCs/>
        </w:rPr>
        <w:t xml:space="preserve"> </w:t>
      </w:r>
      <w:r>
        <w:rPr>
          <w:b/>
          <w:bCs/>
        </w:rPr>
        <w:t xml:space="preserve">– </w:t>
      </w:r>
      <w:r w:rsidRPr="00B569FB">
        <w:rPr>
          <w:b/>
          <w:bCs/>
        </w:rPr>
        <w:t>Impact:</w:t>
      </w:r>
      <w:r w:rsidRPr="00884F60">
        <w:t xml:space="preserve"> field-weighted citation impact </w:t>
      </w:r>
    </w:p>
    <w:p w14:paraId="0499E591" w14:textId="77777777" w:rsidR="00BA6AC7" w:rsidRDefault="00BA6AC7" w:rsidP="00D67246">
      <w:pPr>
        <w:spacing w:after="1320"/>
        <w:ind w:left="1701"/>
        <w:rPr>
          <w:b/>
          <w:bCs/>
        </w:rPr>
      </w:pPr>
      <w:r>
        <w:rPr>
          <w:b/>
          <w:bCs/>
        </w:rPr>
        <w:t>6</w:t>
      </w:r>
      <w:r>
        <w:rPr>
          <w:b/>
          <w:bCs/>
          <w:vertAlign w:val="superscript"/>
        </w:rPr>
        <w:t>th</w:t>
      </w:r>
      <w:r w:rsidRPr="00B569FB">
        <w:rPr>
          <w:b/>
          <w:bCs/>
        </w:rPr>
        <w:t xml:space="preserve"> </w:t>
      </w:r>
      <w:r>
        <w:rPr>
          <w:b/>
          <w:bCs/>
        </w:rPr>
        <w:t xml:space="preserve">– </w:t>
      </w:r>
      <w:r w:rsidRPr="00B569FB">
        <w:rPr>
          <w:b/>
          <w:bCs/>
        </w:rPr>
        <w:t>Quality:</w:t>
      </w:r>
      <w:r w:rsidRPr="00884F60">
        <w:t xml:space="preserve"> </w:t>
      </w:r>
      <w:proofErr w:type="gramStart"/>
      <w:r w:rsidRPr="00884F60">
        <w:t>amount</w:t>
      </w:r>
      <w:proofErr w:type="gramEnd"/>
      <w:r w:rsidRPr="00884F60">
        <w:t xml:space="preserve"> of papers in 10% most cited journal</w:t>
      </w:r>
    </w:p>
    <w:p w14:paraId="1F08AF43" w14:textId="77777777" w:rsidR="00BA6AC7" w:rsidRPr="00D86090" w:rsidRDefault="00BA6AC7" w:rsidP="00D86090">
      <w:pPr>
        <w:pStyle w:val="Heading2"/>
      </w:pPr>
      <w:r>
        <w:rPr>
          <w:noProof/>
        </w:rPr>
        <w:drawing>
          <wp:anchor distT="0" distB="0" distL="114300" distR="114300" simplePos="0" relativeHeight="251669506" behindDoc="1" locked="0" layoutInCell="1" allowOverlap="1" wp14:anchorId="0EB57E06" wp14:editId="63B075AF">
            <wp:simplePos x="0" y="0"/>
            <wp:positionH relativeFrom="column">
              <wp:posOffset>-190500</wp:posOffset>
            </wp:positionH>
            <wp:positionV relativeFrom="paragraph">
              <wp:posOffset>503202</wp:posOffset>
            </wp:positionV>
            <wp:extent cx="1096645" cy="1098620"/>
            <wp:effectExtent l="0" t="0" r="8255" b="6350"/>
            <wp:wrapNone/>
            <wp:docPr id="18909587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03067" name="Picture 2">
                      <a:extLst>
                        <a:ext uri="{C183D7F6-B498-43B3-948B-1728B52AA6E4}">
                          <adec:decorative xmlns:adec="http://schemas.microsoft.com/office/drawing/2017/decorative" val="1"/>
                        </a:ext>
                      </a:extLst>
                    </pic:cNvPr>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96645" cy="1098620"/>
                    </a:xfrm>
                    <a:prstGeom prst="rect">
                      <a:avLst/>
                    </a:prstGeom>
                  </pic:spPr>
                </pic:pic>
              </a:graphicData>
            </a:graphic>
          </wp:anchor>
        </w:drawing>
      </w:r>
      <w:r w:rsidRPr="00D86090">
        <w:t xml:space="preserve">IP potential </w:t>
      </w:r>
    </w:p>
    <w:p w14:paraId="2B387109" w14:textId="77777777" w:rsidR="00BA6AC7" w:rsidRPr="00B569FB" w:rsidRDefault="00BA6AC7" w:rsidP="00D67246">
      <w:pPr>
        <w:ind w:left="1701"/>
        <w:rPr>
          <w:b/>
          <w:bCs/>
        </w:rPr>
      </w:pPr>
      <w:r w:rsidRPr="00B569FB">
        <w:rPr>
          <w:b/>
          <w:bCs/>
        </w:rPr>
        <w:t>9</w:t>
      </w:r>
      <w:r>
        <w:rPr>
          <w:b/>
          <w:bCs/>
        </w:rPr>
        <w:t>4</w:t>
      </w:r>
      <w:r w:rsidRPr="00B569FB">
        <w:rPr>
          <w:b/>
          <w:bCs/>
        </w:rPr>
        <w:t>%</w:t>
      </w:r>
    </w:p>
    <w:p w14:paraId="2F553BFD" w14:textId="77777777" w:rsidR="00BA6AC7" w:rsidRPr="00D86090" w:rsidRDefault="00BA6AC7" w:rsidP="00D67246">
      <w:pPr>
        <w:ind w:left="1701"/>
      </w:pPr>
      <w:r w:rsidRPr="00D86090">
        <w:t xml:space="preserve">Australia’s share of publications cited in patent applications compared to the OECD average expressed as a percentage. </w:t>
      </w:r>
    </w:p>
    <w:p w14:paraId="73EB2AF4" w14:textId="77777777" w:rsidR="00BA6AC7" w:rsidRPr="00D86090" w:rsidRDefault="00BA6AC7" w:rsidP="00D67246">
      <w:pPr>
        <w:spacing w:after="1200"/>
        <w:ind w:left="1701"/>
      </w:pPr>
      <w:r w:rsidRPr="00D86090">
        <w:t xml:space="preserve">Refers to 2018-2022 patent and publication data in the Lens database. </w:t>
      </w:r>
    </w:p>
    <w:p w14:paraId="1FDBCEE0" w14:textId="77777777" w:rsidR="00BA6AC7" w:rsidRPr="00D86090" w:rsidRDefault="00BA6AC7" w:rsidP="00D86090">
      <w:pPr>
        <w:pStyle w:val="Heading2"/>
      </w:pPr>
      <w:r w:rsidRPr="00D86090">
        <w:t xml:space="preserve">Market opportunity assessment </w:t>
      </w:r>
    </w:p>
    <w:p w14:paraId="4E9C2125" w14:textId="77777777" w:rsidR="00BA6AC7" w:rsidRPr="00EB7A7E" w:rsidRDefault="00BA6AC7" w:rsidP="00EB7A7E">
      <w:pPr>
        <w:pStyle w:val="ListBullet"/>
      </w:pPr>
      <w:r>
        <w:t>Australian market size of AU$1.6 billion in 2022</w:t>
      </w:r>
      <w:r w:rsidRPr="00173687">
        <w:rPr>
          <w:vertAlign w:val="superscript"/>
        </w:rPr>
        <w:footnoteReference w:id="5"/>
      </w:r>
      <w:r>
        <w:t xml:space="preserve"> </w:t>
      </w:r>
    </w:p>
    <w:p w14:paraId="56B06401" w14:textId="77777777" w:rsidR="00BA6AC7" w:rsidRDefault="00BA6AC7" w:rsidP="00EB7A7E">
      <w:pPr>
        <w:pStyle w:val="ListBullet"/>
      </w:pPr>
      <w:r>
        <w:t>Projected compound annual market growth of 23% from 2022-2030</w:t>
      </w:r>
      <w:r w:rsidRPr="00173687">
        <w:rPr>
          <w:vertAlign w:val="superscript"/>
        </w:rPr>
        <w:footnoteReference w:id="6"/>
      </w:r>
      <w:r w:rsidRPr="00173687">
        <w:rPr>
          <w:vertAlign w:val="superscript"/>
        </w:rPr>
        <w:t xml:space="preserve"> </w:t>
      </w:r>
      <w:r>
        <w:t xml:space="preserve"> </w:t>
      </w:r>
    </w:p>
    <w:p w14:paraId="47F952DA" w14:textId="77777777" w:rsidR="00BA6AC7" w:rsidRDefault="00BA6AC7" w:rsidP="005D7EED">
      <w:pPr>
        <w:pStyle w:val="ListBullet"/>
      </w:pPr>
      <w:r>
        <w:t>Global market size of AU$476 billion in 2023</w:t>
      </w:r>
      <w:r>
        <w:rPr>
          <w:rStyle w:val="FootnoteReference"/>
        </w:rPr>
        <w:footnoteReference w:id="7"/>
      </w:r>
    </w:p>
    <w:p w14:paraId="42EC62E4" w14:textId="77777777" w:rsidR="00BA6AC7" w:rsidRPr="005D7EED" w:rsidRDefault="00BA6AC7" w:rsidP="005D7EED">
      <w:pPr>
        <w:pStyle w:val="ListBullet"/>
      </w:pPr>
      <w:r>
        <w:t>Projected global compound annual market growth of 9.1% from 2023-2028</w:t>
      </w:r>
      <w:r w:rsidRPr="00F25F96">
        <w:rPr>
          <w:vertAlign w:val="superscript"/>
        </w:rPr>
        <w:footnoteReference w:id="8"/>
      </w:r>
    </w:p>
    <w:p w14:paraId="019A9BAD" w14:textId="77777777" w:rsidR="00BA6AC7" w:rsidRPr="00D86090" w:rsidRDefault="00BA6AC7" w:rsidP="00D86090">
      <w:pPr>
        <w:pStyle w:val="Heading2"/>
      </w:pPr>
      <w:r w:rsidRPr="00D86090">
        <w:lastRenderedPageBreak/>
        <w:t xml:space="preserve">Example industry problems </w:t>
      </w:r>
    </w:p>
    <w:p w14:paraId="2352DCF8" w14:textId="77777777" w:rsidR="00BA6AC7" w:rsidRDefault="00BA6AC7" w:rsidP="004C7CFE">
      <w:r w:rsidRPr="00D86090">
        <w:t>AEA aims to provide developmental support for promising research commercialisation projects at the proof-of-concept or proof-of-scale level (TRL stages 3-7). Successful projects will scale up to meet emerging industry needs.</w:t>
      </w:r>
    </w:p>
    <w:tbl>
      <w:tblPr>
        <w:tblStyle w:val="EDU-Basic"/>
        <w:tblW w:w="0" w:type="auto"/>
        <w:tblLook w:val="04A0" w:firstRow="1" w:lastRow="0" w:firstColumn="1" w:lastColumn="0" w:noHBand="0" w:noVBand="1"/>
      </w:tblPr>
      <w:tblGrid>
        <w:gridCol w:w="3005"/>
        <w:gridCol w:w="3005"/>
        <w:gridCol w:w="3006"/>
      </w:tblGrid>
      <w:tr w:rsidR="00BA6AC7" w14:paraId="787D077C" w14:textId="77777777" w:rsidTr="00B2557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010035"/>
            <w:vAlign w:val="top"/>
          </w:tcPr>
          <w:p w14:paraId="3CF3D483" w14:textId="77777777" w:rsidR="00BA6AC7" w:rsidRPr="001A3B28" w:rsidRDefault="00BA6AC7" w:rsidP="00DD0C70">
            <w:pPr>
              <w:spacing w:after="100"/>
            </w:pPr>
            <w:r w:rsidRPr="001A3B28">
              <w:rPr>
                <w:rFonts w:cs="Inter ExtraBold"/>
                <w:b/>
                <w:bCs/>
                <w:sz w:val="23"/>
                <w:szCs w:val="23"/>
              </w:rPr>
              <w:t xml:space="preserve">Industry problem </w:t>
            </w:r>
          </w:p>
        </w:tc>
        <w:tc>
          <w:tcPr>
            <w:tcW w:w="3005" w:type="dxa"/>
            <w:shd w:val="clear" w:color="auto" w:fill="010035"/>
            <w:vAlign w:val="top"/>
          </w:tcPr>
          <w:p w14:paraId="712C7054" w14:textId="77777777" w:rsidR="00BA6AC7" w:rsidRPr="001A3B28" w:rsidRDefault="00BA6AC7"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c>
          <w:tcPr>
            <w:tcW w:w="3006" w:type="dxa"/>
            <w:shd w:val="clear" w:color="auto" w:fill="010035"/>
            <w:vAlign w:val="top"/>
          </w:tcPr>
          <w:p w14:paraId="50DE3AA7" w14:textId="77777777" w:rsidR="00BA6AC7" w:rsidRPr="001A3B28" w:rsidRDefault="00BA6AC7"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Impact </w:t>
            </w:r>
          </w:p>
        </w:tc>
      </w:tr>
      <w:tr w:rsidR="00BA6AC7" w14:paraId="21A3DBCE" w14:textId="77777777" w:rsidTr="00D114F5">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6F9512AF" w14:textId="77777777" w:rsidR="00BA6AC7" w:rsidRDefault="00BA6AC7" w:rsidP="00D114F5">
            <w:r w:rsidRPr="006445FB">
              <w:t>Industrial transport (long-range aviation,</w:t>
            </w:r>
            <w:r>
              <w:t xml:space="preserve"> </w:t>
            </w:r>
            <w:r w:rsidRPr="006445FB">
              <w:t>heavy road transport, shipping and rail)</w:t>
            </w:r>
            <w:r>
              <w:t xml:space="preserve"> </w:t>
            </w:r>
            <w:r w:rsidRPr="006445FB">
              <w:t>comprises 44% of total Australian transport</w:t>
            </w:r>
            <w:r>
              <w:t xml:space="preserve"> </w:t>
            </w:r>
            <w:r w:rsidRPr="006445FB">
              <w:t>emissions. They require power and range</w:t>
            </w:r>
            <w:r>
              <w:t xml:space="preserve"> </w:t>
            </w:r>
            <w:r w:rsidRPr="006445FB">
              <w:t>capabilities that are not attainable through</w:t>
            </w:r>
            <w:r>
              <w:t xml:space="preserve"> </w:t>
            </w:r>
            <w:r w:rsidRPr="006445FB">
              <w:t>electrification in the short term.</w:t>
            </w:r>
          </w:p>
        </w:tc>
        <w:tc>
          <w:tcPr>
            <w:tcW w:w="3005" w:type="dxa"/>
            <w:vAlign w:val="top"/>
          </w:tcPr>
          <w:p w14:paraId="44FAC07B"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8A0021">
              <w:t>Produce cost-competitive drop-in</w:t>
            </w:r>
            <w:r>
              <w:t xml:space="preserve"> </w:t>
            </w:r>
            <w:r w:rsidRPr="008A0021">
              <w:t>biofuels and synthetic fuels at a</w:t>
            </w:r>
            <w:r>
              <w:t xml:space="preserve"> </w:t>
            </w:r>
            <w:r w:rsidRPr="008A0021">
              <w:t>scale that can reduce emissions</w:t>
            </w:r>
            <w:r>
              <w:t xml:space="preserve"> </w:t>
            </w:r>
            <w:r w:rsidRPr="008A0021">
              <w:t>trajectories from these sectors in</w:t>
            </w:r>
            <w:r>
              <w:t xml:space="preserve"> </w:t>
            </w:r>
            <w:r w:rsidRPr="008A0021">
              <w:t>the medium term.</w:t>
            </w:r>
          </w:p>
        </w:tc>
        <w:tc>
          <w:tcPr>
            <w:tcW w:w="3006" w:type="dxa"/>
            <w:vAlign w:val="top"/>
          </w:tcPr>
          <w:p w14:paraId="62B700BA"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8A0021">
              <w:t>Immediate emissions reduction</w:t>
            </w:r>
            <w:r>
              <w:t xml:space="preserve"> </w:t>
            </w:r>
            <w:r w:rsidRPr="008A0021">
              <w:t>in long-range industrial</w:t>
            </w:r>
            <w:r>
              <w:t xml:space="preserve"> </w:t>
            </w:r>
            <w:r w:rsidRPr="008A0021">
              <w:t>transport (including aviation)</w:t>
            </w:r>
            <w:r>
              <w:t xml:space="preserve"> </w:t>
            </w:r>
            <w:r w:rsidRPr="008A0021">
              <w:t>and opportunity to grow an</w:t>
            </w:r>
            <w:r>
              <w:t xml:space="preserve"> </w:t>
            </w:r>
            <w:r w:rsidRPr="008A0021">
              <w:t>industry from waste.</w:t>
            </w:r>
          </w:p>
        </w:tc>
      </w:tr>
      <w:tr w:rsidR="00BA6AC7" w14:paraId="129A12CB" w14:textId="77777777" w:rsidTr="00D114F5">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26342775" w14:textId="77777777" w:rsidR="00BA6AC7" w:rsidRDefault="00BA6AC7" w:rsidP="00D114F5">
            <w:r w:rsidRPr="008A0021">
              <w:t>Australia has a limited supply of biofuel</w:t>
            </w:r>
            <w:r>
              <w:t xml:space="preserve"> </w:t>
            </w:r>
            <w:r w:rsidRPr="008A0021">
              <w:t>and synthetic fuel feedstocks, which</w:t>
            </w:r>
            <w:r>
              <w:t xml:space="preserve"> </w:t>
            </w:r>
            <w:r w:rsidRPr="008A0021">
              <w:t>may increase their cost. However, to be</w:t>
            </w:r>
            <w:r>
              <w:t xml:space="preserve"> </w:t>
            </w:r>
            <w:r w:rsidRPr="008A0021">
              <w:t>viable, biofuels must sell at parity or less</w:t>
            </w:r>
            <w:r>
              <w:t xml:space="preserve"> </w:t>
            </w:r>
            <w:r w:rsidRPr="008A0021">
              <w:t>than fossil fuels.</w:t>
            </w:r>
          </w:p>
        </w:tc>
        <w:tc>
          <w:tcPr>
            <w:tcW w:w="3005" w:type="dxa"/>
            <w:vAlign w:val="top"/>
          </w:tcPr>
          <w:p w14:paraId="39DA8121"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8A0021">
              <w:t>Develop novel conversion processes</w:t>
            </w:r>
            <w:r>
              <w:t xml:space="preserve"> </w:t>
            </w:r>
            <w:r w:rsidRPr="008A0021">
              <w:t>or feedstock enhancements that</w:t>
            </w:r>
            <w:r>
              <w:t xml:space="preserve"> </w:t>
            </w:r>
            <w:r w:rsidRPr="008A0021">
              <w:t>optimise the energy density of clean</w:t>
            </w:r>
            <w:r>
              <w:t xml:space="preserve"> </w:t>
            </w:r>
            <w:r w:rsidRPr="008A0021">
              <w:t>biofuels, whilst reducing costs and</w:t>
            </w:r>
            <w:r>
              <w:t xml:space="preserve"> </w:t>
            </w:r>
            <w:r w:rsidRPr="008A0021">
              <w:t>achieving commercial viability at scale.</w:t>
            </w:r>
          </w:p>
        </w:tc>
        <w:tc>
          <w:tcPr>
            <w:tcW w:w="3006" w:type="dxa"/>
            <w:vAlign w:val="top"/>
          </w:tcPr>
          <w:p w14:paraId="0E98AFB9"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8A0021">
              <w:t>Support scale up and</w:t>
            </w:r>
            <w:r>
              <w:t xml:space="preserve"> </w:t>
            </w:r>
            <w:r w:rsidRPr="008A0021">
              <w:t>sustainability (lower emissions</w:t>
            </w:r>
            <w:r>
              <w:t xml:space="preserve"> </w:t>
            </w:r>
            <w:r w:rsidRPr="008A0021">
              <w:t>and commercial viability) of a</w:t>
            </w:r>
            <w:r>
              <w:t xml:space="preserve"> </w:t>
            </w:r>
            <w:r w:rsidRPr="008A0021">
              <w:t>new biorefining industry.</w:t>
            </w:r>
          </w:p>
        </w:tc>
      </w:tr>
      <w:tr w:rsidR="00BA6AC7" w14:paraId="1583FCAA" w14:textId="77777777" w:rsidTr="00D114F5">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3BCFAD45" w14:textId="77777777" w:rsidR="00BA6AC7" w:rsidRDefault="00BA6AC7" w:rsidP="00D114F5">
            <w:r w:rsidRPr="0025648F">
              <w:t>The storage, transport and handling</w:t>
            </w:r>
            <w:r>
              <w:t xml:space="preserve"> </w:t>
            </w:r>
            <w:r w:rsidRPr="0025648F">
              <w:t>of hydrogen requires infrastructural</w:t>
            </w:r>
            <w:r>
              <w:t xml:space="preserve"> </w:t>
            </w:r>
            <w:r w:rsidRPr="0025648F">
              <w:t>renewal, components and novel</w:t>
            </w:r>
            <w:r>
              <w:t xml:space="preserve"> </w:t>
            </w:r>
            <w:r w:rsidRPr="0025648F">
              <w:t>interoperability solutions.</w:t>
            </w:r>
          </w:p>
        </w:tc>
        <w:tc>
          <w:tcPr>
            <w:tcW w:w="3005" w:type="dxa"/>
            <w:vAlign w:val="top"/>
          </w:tcPr>
          <w:p w14:paraId="2936FA66"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927ACD">
              <w:t>Pioneer commercially viable systems</w:t>
            </w:r>
            <w:r>
              <w:t xml:space="preserve"> </w:t>
            </w:r>
            <w:r w:rsidRPr="00927ACD">
              <w:t>to safely store, transport and handle</w:t>
            </w:r>
            <w:r>
              <w:t xml:space="preserve"> </w:t>
            </w:r>
            <w:r w:rsidRPr="00927ACD">
              <w:t>renewable hydrogen at scale.</w:t>
            </w:r>
          </w:p>
        </w:tc>
        <w:tc>
          <w:tcPr>
            <w:tcW w:w="3006" w:type="dxa"/>
            <w:vAlign w:val="top"/>
          </w:tcPr>
          <w:p w14:paraId="3D30D5B9"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927ACD">
              <w:t>Improve the commercial</w:t>
            </w:r>
            <w:r>
              <w:t xml:space="preserve"> </w:t>
            </w:r>
            <w:r w:rsidRPr="00927ACD">
              <w:t>viability of renewable hydrogen</w:t>
            </w:r>
            <w:r>
              <w:t xml:space="preserve"> </w:t>
            </w:r>
            <w:r w:rsidRPr="00927ACD">
              <w:t>to accelerate scaleup.</w:t>
            </w:r>
          </w:p>
        </w:tc>
      </w:tr>
      <w:tr w:rsidR="00BA6AC7" w14:paraId="6A001FEE" w14:textId="77777777" w:rsidTr="00D114F5">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0380D32A" w14:textId="77777777" w:rsidR="00BA6AC7" w:rsidRDefault="00BA6AC7" w:rsidP="00D114F5">
            <w:r w:rsidRPr="00927ACD">
              <w:t>Generating 1 kilogram of green</w:t>
            </w:r>
            <w:r>
              <w:t xml:space="preserve"> </w:t>
            </w:r>
            <w:r w:rsidRPr="00927ACD">
              <w:t>hydrogen through electrolysis uses</w:t>
            </w:r>
            <w:r>
              <w:t xml:space="preserve"> </w:t>
            </w:r>
            <w:r w:rsidRPr="00927ACD">
              <w:t>15 to 20 kilograms of clean water.</w:t>
            </w:r>
          </w:p>
        </w:tc>
        <w:tc>
          <w:tcPr>
            <w:tcW w:w="3005" w:type="dxa"/>
            <w:vAlign w:val="top"/>
          </w:tcPr>
          <w:p w14:paraId="003197BA"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927ACD">
              <w:t>Develop solutions to reduce the</w:t>
            </w:r>
            <w:r>
              <w:t xml:space="preserve"> </w:t>
            </w:r>
            <w:r w:rsidRPr="00927ACD">
              <w:t>demand for clean water, such as</w:t>
            </w:r>
            <w:r>
              <w:t xml:space="preserve"> </w:t>
            </w:r>
            <w:r w:rsidRPr="00927ACD">
              <w:t>through advanced electrolysis and</w:t>
            </w:r>
            <w:r>
              <w:t xml:space="preserve"> </w:t>
            </w:r>
            <w:r w:rsidRPr="00927ACD">
              <w:t>fuel cells and processing alternate</w:t>
            </w:r>
            <w:r>
              <w:t xml:space="preserve"> </w:t>
            </w:r>
            <w:r w:rsidRPr="00927ACD">
              <w:t>water inputs</w:t>
            </w:r>
            <w:r>
              <w:t>.</w:t>
            </w:r>
          </w:p>
        </w:tc>
        <w:tc>
          <w:tcPr>
            <w:tcW w:w="3006" w:type="dxa"/>
            <w:vAlign w:val="top"/>
          </w:tcPr>
          <w:p w14:paraId="09966728" w14:textId="77777777" w:rsidR="00BA6AC7" w:rsidRDefault="00BA6AC7" w:rsidP="00D114F5">
            <w:pPr>
              <w:cnfStyle w:val="000000000000" w:firstRow="0" w:lastRow="0" w:firstColumn="0" w:lastColumn="0" w:oddVBand="0" w:evenVBand="0" w:oddHBand="0" w:evenHBand="0" w:firstRowFirstColumn="0" w:firstRowLastColumn="0" w:lastRowFirstColumn="0" w:lastRowLastColumn="0"/>
            </w:pPr>
            <w:r w:rsidRPr="00927ACD">
              <w:t>Improve social licence</w:t>
            </w:r>
            <w:r>
              <w:t xml:space="preserve"> </w:t>
            </w:r>
            <w:r w:rsidRPr="00927ACD">
              <w:t>and commercial viability</w:t>
            </w:r>
            <w:r>
              <w:t xml:space="preserve"> </w:t>
            </w:r>
            <w:r w:rsidRPr="00927ACD">
              <w:t>of renewable hydrogen to</w:t>
            </w:r>
            <w:r>
              <w:t xml:space="preserve"> </w:t>
            </w:r>
            <w:r w:rsidRPr="00927ACD">
              <w:t>accelerate uptake.</w:t>
            </w:r>
          </w:p>
        </w:tc>
      </w:tr>
    </w:tbl>
    <w:p w14:paraId="21D5D0BC" w14:textId="77777777" w:rsidR="00BA6AC7" w:rsidRDefault="00BA6AC7" w:rsidP="001A3B28">
      <w:pPr>
        <w:pStyle w:val="ListNumber4"/>
        <w:numPr>
          <w:ilvl w:val="0"/>
          <w:numId w:val="0"/>
        </w:numPr>
      </w:pPr>
    </w:p>
    <w:p w14:paraId="22B57A57" w14:textId="77777777" w:rsidR="00BA6AC7" w:rsidRPr="00C2482C" w:rsidRDefault="00BA6AC7" w:rsidP="00C2482C">
      <w:pPr>
        <w:pStyle w:val="Heading2"/>
      </w:pPr>
      <w:r w:rsidRPr="00C2482C">
        <w:t xml:space="preserve">Other public investment options </w:t>
      </w:r>
    </w:p>
    <w:p w14:paraId="27231E5E" w14:textId="77777777" w:rsidR="00BA6AC7" w:rsidRPr="001C090D" w:rsidRDefault="00C97261" w:rsidP="00BA6AC7">
      <w:pPr>
        <w:pStyle w:val="ListBullet"/>
        <w:ind w:left="360" w:hanging="360"/>
        <w:rPr>
          <w:rStyle w:val="Hyperlink"/>
          <w:rFonts w:cs="Inter"/>
          <w:color w:val="215E9F"/>
        </w:rPr>
      </w:pPr>
      <w:hyperlink r:id="rId63" w:history="1">
        <w:r w:rsidR="00BA6AC7" w:rsidRPr="001C090D">
          <w:rPr>
            <w:rStyle w:val="Hyperlink"/>
            <w:rFonts w:cs="Inter"/>
            <w:color w:val="215E9F"/>
          </w:rPr>
          <w:t>ARENA &amp; the Future Made in Australia Innovation Fund</w:t>
        </w:r>
      </w:hyperlink>
    </w:p>
    <w:p w14:paraId="0950CFEC" w14:textId="77777777" w:rsidR="00BA6AC7" w:rsidRPr="001C090D" w:rsidRDefault="00C97261" w:rsidP="00BA6AC7">
      <w:pPr>
        <w:pStyle w:val="ListBullet"/>
        <w:ind w:left="360" w:hanging="360"/>
        <w:rPr>
          <w:rStyle w:val="Hyperlink"/>
          <w:rFonts w:cs="Inter"/>
          <w:color w:val="215E9F"/>
        </w:rPr>
      </w:pPr>
      <w:hyperlink r:id="rId64" w:history="1">
        <w:r w:rsidR="00BA6AC7" w:rsidRPr="001C090D">
          <w:rPr>
            <w:rStyle w:val="Hyperlink"/>
            <w:rFonts w:cs="Inter"/>
            <w:color w:val="215E9F"/>
          </w:rPr>
          <w:t>Industry Growth Program</w:t>
        </w:r>
      </w:hyperlink>
      <w:r w:rsidR="00BA6AC7" w:rsidRPr="001C090D">
        <w:rPr>
          <w:rStyle w:val="Hyperlink"/>
          <w:rFonts w:cs="Inter"/>
          <w:color w:val="215E9F"/>
        </w:rPr>
        <w:t xml:space="preserve"> </w:t>
      </w:r>
    </w:p>
    <w:p w14:paraId="7C45470E" w14:textId="77777777" w:rsidR="00BA6AC7" w:rsidRPr="001C090D" w:rsidRDefault="00C97261" w:rsidP="00BA6AC7">
      <w:pPr>
        <w:pStyle w:val="ListBullet"/>
        <w:ind w:left="360" w:hanging="360"/>
        <w:rPr>
          <w:rStyle w:val="Hyperlink"/>
          <w:rFonts w:cs="Inter"/>
          <w:color w:val="215E9F"/>
        </w:rPr>
      </w:pPr>
      <w:hyperlink r:id="rId65" w:history="1">
        <w:r w:rsidR="00BA6AC7" w:rsidRPr="001C090D">
          <w:rPr>
            <w:rStyle w:val="Hyperlink"/>
            <w:color w:val="215E9F"/>
          </w:rPr>
          <w:t>Clean Energy Finance Corporation</w:t>
        </w:r>
      </w:hyperlink>
    </w:p>
    <w:p w14:paraId="08C3D861" w14:textId="77777777" w:rsidR="00BA6AC7" w:rsidRPr="001C090D" w:rsidRDefault="00C97261" w:rsidP="00BA6AC7">
      <w:pPr>
        <w:pStyle w:val="ListBullet"/>
        <w:ind w:left="360" w:hanging="360"/>
        <w:rPr>
          <w:color w:val="215E9F"/>
        </w:rPr>
      </w:pPr>
      <w:hyperlink r:id="rId66" w:history="1">
        <w:r w:rsidR="00BA6AC7" w:rsidRPr="001C090D">
          <w:rPr>
            <w:rStyle w:val="Hyperlink"/>
            <w:color w:val="215E9F"/>
          </w:rPr>
          <w:t>The National Reconstruction Fund</w:t>
        </w:r>
      </w:hyperlink>
    </w:p>
    <w:p w14:paraId="5C50B11E" w14:textId="77777777" w:rsidR="00BA6AC7" w:rsidRPr="001C090D" w:rsidRDefault="00C97261" w:rsidP="00BA6AC7">
      <w:pPr>
        <w:pStyle w:val="ListBullet"/>
        <w:ind w:left="360" w:hanging="360"/>
        <w:rPr>
          <w:color w:val="215E9F"/>
        </w:rPr>
      </w:pPr>
      <w:hyperlink r:id="rId67" w:history="1">
        <w:r w:rsidR="00BA6AC7" w:rsidRPr="001C090D">
          <w:rPr>
            <w:rStyle w:val="Hyperlink"/>
            <w:color w:val="215E9F"/>
          </w:rPr>
          <w:t xml:space="preserve">Hydrogen </w:t>
        </w:r>
        <w:proofErr w:type="spellStart"/>
        <w:r w:rsidR="00BA6AC7" w:rsidRPr="001C090D">
          <w:rPr>
            <w:rStyle w:val="Hyperlink"/>
            <w:color w:val="215E9F"/>
          </w:rPr>
          <w:t>Headstart</w:t>
        </w:r>
        <w:proofErr w:type="spellEnd"/>
        <w:r w:rsidR="00BA6AC7" w:rsidRPr="001C090D">
          <w:rPr>
            <w:rStyle w:val="Hyperlink"/>
            <w:color w:val="215E9F"/>
          </w:rPr>
          <w:t xml:space="preserve"> Program</w:t>
        </w:r>
      </w:hyperlink>
    </w:p>
    <w:p w14:paraId="1EA7A85D" w14:textId="77777777" w:rsidR="00BA6AC7" w:rsidRPr="001C090D" w:rsidRDefault="00C97261" w:rsidP="00BA6AC7">
      <w:pPr>
        <w:pStyle w:val="ListBullet"/>
        <w:ind w:left="360" w:hanging="360"/>
        <w:rPr>
          <w:color w:val="215E9F"/>
        </w:rPr>
      </w:pPr>
      <w:hyperlink r:id="rId68" w:history="1">
        <w:r w:rsidR="00BA6AC7" w:rsidRPr="001C090D">
          <w:rPr>
            <w:rStyle w:val="Hyperlink"/>
            <w:color w:val="215E9F"/>
          </w:rPr>
          <w:t>Future Made in Australia Hydrogen Production Tax Incentive</w:t>
        </w:r>
      </w:hyperlink>
      <w:r w:rsidR="00BA6AC7" w:rsidRPr="001C090D">
        <w:rPr>
          <w:color w:val="215E9F"/>
        </w:rPr>
        <w:t xml:space="preserve"> </w:t>
      </w:r>
    </w:p>
    <w:p w14:paraId="2635EBA0" w14:textId="77777777" w:rsidR="008B26F9" w:rsidRDefault="00C97261" w:rsidP="008B26F9">
      <w:pPr>
        <w:pStyle w:val="ListBullet"/>
        <w:ind w:left="360" w:hanging="360"/>
        <w:rPr>
          <w:rStyle w:val="Hyperlink"/>
          <w:color w:val="215E9F"/>
        </w:rPr>
        <w:sectPr w:rsidR="008B26F9" w:rsidSect="00BA6AC7">
          <w:footerReference w:type="default" r:id="rId69"/>
          <w:pgSz w:w="11906" w:h="16838"/>
          <w:pgMar w:top="22" w:right="1440" w:bottom="1440" w:left="1440" w:header="708" w:footer="567" w:gutter="0"/>
          <w:cols w:space="708"/>
          <w:docGrid w:linePitch="360"/>
        </w:sectPr>
      </w:pPr>
      <w:hyperlink r:id="rId70" w:history="1">
        <w:r w:rsidR="00BA6AC7" w:rsidRPr="001C090D">
          <w:rPr>
            <w:rStyle w:val="Hyperlink"/>
            <w:color w:val="215E9F"/>
          </w:rPr>
          <w:t>Rural Research and Development Corporation</w:t>
        </w:r>
      </w:hyperlink>
    </w:p>
    <w:p w14:paraId="1545956F" w14:textId="6EF6D4B8" w:rsidR="00C97261" w:rsidRPr="00C97261" w:rsidRDefault="00073516" w:rsidP="00C97261">
      <w:pPr>
        <w:tabs>
          <w:tab w:val="left" w:pos="0"/>
        </w:tabs>
        <w:ind w:hanging="426"/>
      </w:pPr>
      <w:r>
        <w:rPr>
          <w:noProof/>
        </w:rPr>
        <w:lastRenderedPageBreak/>
        <w:drawing>
          <wp:anchor distT="0" distB="0" distL="114300" distR="114300" simplePos="0" relativeHeight="251683842" behindDoc="0" locked="0" layoutInCell="1" allowOverlap="1" wp14:anchorId="06E7D2E8" wp14:editId="28D38DE9">
            <wp:simplePos x="0" y="0"/>
            <wp:positionH relativeFrom="column">
              <wp:posOffset>4606290</wp:posOffset>
            </wp:positionH>
            <wp:positionV relativeFrom="paragraph">
              <wp:posOffset>259080</wp:posOffset>
            </wp:positionV>
            <wp:extent cx="1749425" cy="1772920"/>
            <wp:effectExtent l="0" t="0" r="3175" b="0"/>
            <wp:wrapSquare wrapText="bothSides"/>
            <wp:docPr id="150201543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1034" name="Picture 4">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1749425" cy="1772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815">
        <w:rPr>
          <w:b/>
          <w:bCs/>
          <w:noProof/>
        </w:rPr>
        <w:drawing>
          <wp:anchor distT="0" distB="0" distL="114300" distR="114300" simplePos="0" relativeHeight="251678722" behindDoc="1" locked="1" layoutInCell="1" allowOverlap="1" wp14:anchorId="452EB786" wp14:editId="2C43591C">
            <wp:simplePos x="0" y="0"/>
            <wp:positionH relativeFrom="page">
              <wp:align>left</wp:align>
            </wp:positionH>
            <wp:positionV relativeFrom="page">
              <wp:posOffset>25400</wp:posOffset>
            </wp:positionV>
            <wp:extent cx="7559675" cy="1565910"/>
            <wp:effectExtent l="0" t="0" r="3175" b="0"/>
            <wp:wrapNone/>
            <wp:docPr id="1089245187" name="Picture 1089245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EBE6150" wp14:editId="5D2F80D9">
            <wp:extent cx="1622002" cy="701675"/>
            <wp:effectExtent l="0" t="0" r="0" b="3175"/>
            <wp:docPr id="1448654832"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12" cstate="print">
                      <a:extLst>
                        <a:ext uri="{28A0092B-C50C-407E-A947-70E740481C1C}">
                          <a14:useLocalDpi xmlns:a14="http://schemas.microsoft.com/office/drawing/2010/main" val="0"/>
                        </a:ext>
                      </a:extLst>
                    </a:blip>
                    <a:srcRect l="52996"/>
                    <a:stretch/>
                  </pic:blipFill>
                  <pic:spPr bwMode="auto">
                    <a:xfrm>
                      <a:off x="0" y="0"/>
                      <a:ext cx="1622753" cy="702000"/>
                    </a:xfrm>
                    <a:prstGeom prst="rect">
                      <a:avLst/>
                    </a:prstGeom>
                    <a:ln>
                      <a:noFill/>
                    </a:ln>
                    <a:extLst>
                      <a:ext uri="{53640926-AAD7-44D8-BBD7-CCE9431645EC}">
                        <a14:shadowObscured xmlns:a14="http://schemas.microsoft.com/office/drawing/2010/main"/>
                      </a:ext>
                    </a:extLst>
                  </pic:spPr>
                </pic:pic>
              </a:graphicData>
            </a:graphic>
          </wp:inline>
        </w:drawing>
      </w:r>
    </w:p>
    <w:p w14:paraId="09772AAA" w14:textId="77777777" w:rsidR="00C97261" w:rsidRPr="00C97261" w:rsidRDefault="00C97261" w:rsidP="00C97261"/>
    <w:p w14:paraId="3E922E5B" w14:textId="4B940B02" w:rsidR="00073516" w:rsidRDefault="00073516" w:rsidP="002F00B1">
      <w:pPr>
        <w:pStyle w:val="AppendixH1"/>
        <w:spacing w:before="600"/>
      </w:pPr>
      <w:r>
        <w:t>Digital Agriculture</w:t>
      </w:r>
    </w:p>
    <w:p w14:paraId="0909379F" w14:textId="77777777" w:rsidR="00073516" w:rsidRDefault="00073516" w:rsidP="0058654B">
      <w:pPr>
        <w:rPr>
          <w:rStyle w:val="A1"/>
        </w:rPr>
      </w:pPr>
    </w:p>
    <w:p w14:paraId="41A78B14" w14:textId="77777777" w:rsidR="00073516" w:rsidRDefault="00C97261" w:rsidP="3760015C">
      <w:pPr>
        <w:rPr>
          <w:b/>
          <w:bCs/>
        </w:rPr>
      </w:pPr>
      <w:hyperlink r:id="rId72">
        <w:r w:rsidR="00073516" w:rsidRPr="3760015C">
          <w:rPr>
            <w:rStyle w:val="Hyperlink"/>
            <w:color w:val="215E9F"/>
          </w:rPr>
          <w:t>Australia’s Economic Accelerator</w:t>
        </w:r>
      </w:hyperlink>
      <w:r w:rsidR="00073516">
        <w:t xml:space="preserve"> (AEA) is a $1.6 billion Australian Government investment aimed at transforming Australia’s research translation and commercialisation landscape. AEA grants support the Australian Government identified priority areas for the economy (outlined in the </w:t>
      </w:r>
      <w:hyperlink r:id="rId73">
        <w:r w:rsidR="00073516" w:rsidRPr="3760015C">
          <w:rPr>
            <w:rStyle w:val="Hyperlink"/>
            <w:i/>
            <w:iCs/>
            <w:color w:val="215E9F"/>
          </w:rPr>
          <w:t>National Reconstruction Fund Corporation (Priority Areas) Declaration 2023</w:t>
        </w:r>
      </w:hyperlink>
      <w:r w:rsidR="00073516">
        <w:t xml:space="preserve">). Within these priorities, the first round of grants will prioritise projects that align with one or more of 6 focus areas, including advanced manufacturing, artificial intelligence, digital agriculture, quantum, sustainable fuels, and critical and strategic minerals processing. </w:t>
      </w:r>
    </w:p>
    <w:p w14:paraId="5EAE0504" w14:textId="77777777" w:rsidR="002F00B1" w:rsidRDefault="00073516" w:rsidP="00073516">
      <w:r w:rsidRPr="00FF7B97">
        <w:t>Digital agriculture includes applications of digital platforms and data-driven approaches such as Internet of Things (IoT) and precision agriculture, automation and robotics, prediction and modelling, remote observation and mapping, and other novel methods to increase value-add, optimise resource usage, and enhance Australia’s already outstanding reputation for producing safe and high-quality agricultural and food products.</w:t>
      </w:r>
    </w:p>
    <w:p w14:paraId="3E78A6DE" w14:textId="42FC2897" w:rsidR="00073516" w:rsidRDefault="00073516" w:rsidP="002F00B1">
      <w:pPr>
        <w:pStyle w:val="Heading2"/>
        <w:spacing w:before="480"/>
      </w:pPr>
      <w:r w:rsidRPr="009C05D4">
        <w:t xml:space="preserve">National priority </w:t>
      </w:r>
    </w:p>
    <w:tbl>
      <w:tblPr>
        <w:tblStyle w:val="TableGrid"/>
        <w:tblW w:w="9209" w:type="dxa"/>
        <w:tblLook w:val="04A0" w:firstRow="1" w:lastRow="0" w:firstColumn="1" w:lastColumn="0" w:noHBand="0" w:noVBand="1"/>
      </w:tblPr>
      <w:tblGrid>
        <w:gridCol w:w="3119"/>
        <w:gridCol w:w="6090"/>
      </w:tblGrid>
      <w:tr w:rsidR="00073516" w:rsidRPr="00CE537A" w14:paraId="4BDAA395" w14:textId="77777777" w:rsidTr="001A4B67">
        <w:tc>
          <w:tcPr>
            <w:tcW w:w="3119" w:type="dxa"/>
            <w:tcBorders>
              <w:top w:val="nil"/>
              <w:left w:val="nil"/>
              <w:bottom w:val="nil"/>
              <w:right w:val="nil"/>
            </w:tcBorders>
          </w:tcPr>
          <w:p w14:paraId="35A666B8" w14:textId="77777777" w:rsidR="00073516" w:rsidRDefault="00073516" w:rsidP="00F93EB3">
            <w:pPr>
              <w:pStyle w:val="Heading2"/>
              <w:tabs>
                <w:tab w:val="left" w:pos="2547"/>
              </w:tabs>
            </w:pPr>
            <w:r>
              <w:rPr>
                <w:noProof/>
              </w:rPr>
              <w:drawing>
                <wp:anchor distT="0" distB="0" distL="114300" distR="114300" simplePos="0" relativeHeight="251684866" behindDoc="1" locked="0" layoutInCell="1" allowOverlap="1" wp14:anchorId="404496CB" wp14:editId="2259B979">
                  <wp:simplePos x="0" y="0"/>
                  <wp:positionH relativeFrom="column">
                    <wp:posOffset>14302</wp:posOffset>
                  </wp:positionH>
                  <wp:positionV relativeFrom="paragraph">
                    <wp:posOffset>0</wp:posOffset>
                  </wp:positionV>
                  <wp:extent cx="1638000" cy="1638000"/>
                  <wp:effectExtent l="0" t="0" r="0" b="0"/>
                  <wp:wrapTight wrapText="bothSides">
                    <wp:wrapPolygon edited="0">
                      <wp:start x="8040" y="251"/>
                      <wp:lineTo x="2010" y="4020"/>
                      <wp:lineTo x="251" y="8794"/>
                      <wp:lineTo x="251" y="12814"/>
                      <wp:lineTo x="2261" y="16834"/>
                      <wp:lineTo x="2261" y="17588"/>
                      <wp:lineTo x="8040" y="21106"/>
                      <wp:lineTo x="13317" y="21106"/>
                      <wp:lineTo x="14322" y="20603"/>
                      <wp:lineTo x="19096" y="17337"/>
                      <wp:lineTo x="21106" y="12814"/>
                      <wp:lineTo x="21106" y="8794"/>
                      <wp:lineTo x="20101" y="6282"/>
                      <wp:lineTo x="19598" y="4271"/>
                      <wp:lineTo x="15076" y="1256"/>
                      <wp:lineTo x="13317" y="251"/>
                      <wp:lineTo x="8040" y="251"/>
                    </wp:wrapPolygon>
                  </wp:wrapTight>
                  <wp:docPr id="33762150" name="Graphic 1" descr="Agriculture, forestry and fisher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2150" name="Graphic 1" descr="Agriculture, forestry and fisheries icon"/>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638000" cy="1638000"/>
                          </a:xfrm>
                          <a:prstGeom prst="rect">
                            <a:avLst/>
                          </a:prstGeom>
                        </pic:spPr>
                      </pic:pic>
                    </a:graphicData>
                  </a:graphic>
                  <wp14:sizeRelH relativeFrom="margin">
                    <wp14:pctWidth>0</wp14:pctWidth>
                  </wp14:sizeRelH>
                  <wp14:sizeRelV relativeFrom="margin">
                    <wp14:pctHeight>0</wp14:pctHeight>
                  </wp14:sizeRelV>
                </wp:anchor>
              </w:drawing>
            </w:r>
          </w:p>
        </w:tc>
        <w:tc>
          <w:tcPr>
            <w:tcW w:w="6090" w:type="dxa"/>
            <w:tcBorders>
              <w:top w:val="nil"/>
              <w:left w:val="nil"/>
              <w:bottom w:val="nil"/>
              <w:right w:val="nil"/>
            </w:tcBorders>
          </w:tcPr>
          <w:p w14:paraId="4BBF730A" w14:textId="77777777" w:rsidR="00073516" w:rsidRDefault="00073516" w:rsidP="00D64B87">
            <w:pPr>
              <w:spacing w:before="100" w:beforeAutospacing="1" w:afterAutospacing="1"/>
            </w:pPr>
            <w:r w:rsidRPr="008D3BC6">
              <w:t>Agriculture is a key export sector drawing on Australia’s</w:t>
            </w:r>
            <w:r>
              <w:t xml:space="preserve"> </w:t>
            </w:r>
            <w:r w:rsidRPr="008D3BC6">
              <w:t>resource advantage and where technology</w:t>
            </w:r>
            <w:r>
              <w:t xml:space="preserve"> </w:t>
            </w:r>
            <w:r w:rsidRPr="008D3BC6">
              <w:t>driven productivity gains are particularly impactful. Digital</w:t>
            </w:r>
            <w:r>
              <w:t xml:space="preserve"> </w:t>
            </w:r>
            <w:r w:rsidRPr="008D3BC6">
              <w:t>agriculture aligns with the national</w:t>
            </w:r>
            <w:r>
              <w:t xml:space="preserve"> </w:t>
            </w:r>
            <w:r w:rsidRPr="008D3BC6">
              <w:t>priority areas through supporting development of</w:t>
            </w:r>
            <w:r>
              <w:t xml:space="preserve"> </w:t>
            </w:r>
            <w:r w:rsidRPr="008D3BC6">
              <w:t>sustainable processes and advanced technology</w:t>
            </w:r>
            <w:r>
              <w:t xml:space="preserve"> </w:t>
            </w:r>
            <w:r w:rsidRPr="008D3BC6">
              <w:t>across agriculture, forestry, and fishery value chains.</w:t>
            </w:r>
          </w:p>
          <w:p w14:paraId="0AAD2A71" w14:textId="77777777" w:rsidR="00073516" w:rsidRPr="00D0180F" w:rsidRDefault="00C97261" w:rsidP="00073516">
            <w:pPr>
              <w:pStyle w:val="ListParagraph"/>
              <w:numPr>
                <w:ilvl w:val="0"/>
                <w:numId w:val="61"/>
              </w:numPr>
              <w:spacing w:after="120"/>
              <w:rPr>
                <w:color w:val="215E9F"/>
              </w:rPr>
            </w:pPr>
            <w:hyperlink r:id="rId74" w:history="1">
              <w:r w:rsidR="00073516" w:rsidRPr="00D0180F">
                <w:rPr>
                  <w:rStyle w:val="Hyperlink"/>
                  <w:color w:val="215E9F"/>
                </w:rPr>
                <w:t>Agricultural Traceability Strategy 2023-2033</w:t>
              </w:r>
            </w:hyperlink>
            <w:r w:rsidR="00073516" w:rsidRPr="00D0180F">
              <w:rPr>
                <w:color w:val="215E9F"/>
              </w:rPr>
              <w:t xml:space="preserve"> </w:t>
            </w:r>
          </w:p>
          <w:p w14:paraId="3041E26E" w14:textId="77777777" w:rsidR="00073516" w:rsidRPr="00D0180F" w:rsidRDefault="00C97261" w:rsidP="00073516">
            <w:pPr>
              <w:pStyle w:val="ListParagraph"/>
              <w:numPr>
                <w:ilvl w:val="0"/>
                <w:numId w:val="61"/>
              </w:numPr>
              <w:spacing w:after="160"/>
              <w:rPr>
                <w:color w:val="215E9F"/>
                <w:u w:val="single"/>
              </w:rPr>
            </w:pPr>
            <w:hyperlink r:id="rId75" w:history="1">
              <w:r w:rsidR="00073516" w:rsidRPr="00D0180F">
                <w:rPr>
                  <w:rStyle w:val="Hyperlink"/>
                  <w:color w:val="215E9F"/>
                </w:rPr>
                <w:t>Agriculture and Land Sectoral Plan</w:t>
              </w:r>
            </w:hyperlink>
            <w:r w:rsidR="00073516" w:rsidRPr="00D0180F">
              <w:rPr>
                <w:color w:val="215E9F"/>
                <w:u w:val="single"/>
              </w:rPr>
              <w:t xml:space="preserve"> </w:t>
            </w:r>
          </w:p>
          <w:p w14:paraId="6A986455" w14:textId="77777777" w:rsidR="00073516" w:rsidRPr="0006048D" w:rsidRDefault="00C97261" w:rsidP="00073516">
            <w:pPr>
              <w:pStyle w:val="ListParagraph"/>
              <w:numPr>
                <w:ilvl w:val="0"/>
                <w:numId w:val="61"/>
              </w:numPr>
              <w:spacing w:after="120"/>
              <w:rPr>
                <w:rStyle w:val="Hyperlink"/>
                <w:color w:val="215E9F"/>
              </w:rPr>
            </w:pPr>
            <w:hyperlink r:id="rId76" w:history="1">
              <w:r w:rsidR="00073516" w:rsidRPr="0006048D">
                <w:rPr>
                  <w:rStyle w:val="Hyperlink"/>
                  <w:color w:val="215E9F"/>
                </w:rPr>
                <w:t>On Farm Connectivity Program</w:t>
              </w:r>
            </w:hyperlink>
          </w:p>
          <w:p w14:paraId="734E10EE" w14:textId="77777777" w:rsidR="00073516" w:rsidRDefault="00C97261" w:rsidP="00073516">
            <w:pPr>
              <w:pStyle w:val="ListParagraph"/>
              <w:numPr>
                <w:ilvl w:val="0"/>
                <w:numId w:val="61"/>
              </w:numPr>
              <w:spacing w:after="160"/>
              <w:rPr>
                <w:color w:val="215E9F"/>
              </w:rPr>
            </w:pPr>
            <w:hyperlink r:id="rId77" w:history="1">
              <w:r w:rsidR="00073516" w:rsidRPr="006A24FE">
                <w:rPr>
                  <w:rStyle w:val="Hyperlink"/>
                  <w:color w:val="215E9F"/>
                </w:rPr>
                <w:t>Future Drought Fund</w:t>
              </w:r>
            </w:hyperlink>
            <w:r w:rsidR="00073516" w:rsidRPr="006A24FE">
              <w:rPr>
                <w:color w:val="215E9F"/>
              </w:rPr>
              <w:t xml:space="preserve"> </w:t>
            </w:r>
          </w:p>
          <w:p w14:paraId="14EC6490" w14:textId="77777777" w:rsidR="00073516" w:rsidRPr="006A24FE" w:rsidRDefault="00C97261" w:rsidP="00073516">
            <w:pPr>
              <w:pStyle w:val="ListParagraph"/>
              <w:numPr>
                <w:ilvl w:val="0"/>
                <w:numId w:val="61"/>
              </w:numPr>
              <w:spacing w:after="120"/>
              <w:rPr>
                <w:color w:val="215E9F"/>
              </w:rPr>
            </w:pPr>
            <w:hyperlink r:id="rId78" w:history="1">
              <w:r w:rsidR="00073516" w:rsidRPr="0006048D">
                <w:rPr>
                  <w:rStyle w:val="Hyperlink"/>
                  <w:color w:val="215E9F"/>
                </w:rPr>
                <w:t>List of Critical Technologies in the National Interest</w:t>
              </w:r>
            </w:hyperlink>
          </w:p>
        </w:tc>
      </w:tr>
    </w:tbl>
    <w:tbl>
      <w:tblPr>
        <w:tblStyle w:val="EDU-Basic"/>
        <w:tblW w:w="9351" w:type="dxa"/>
        <w:tblInd w:w="-147" w:type="dxa"/>
        <w:tblLook w:val="04A0" w:firstRow="1" w:lastRow="0" w:firstColumn="1" w:lastColumn="0" w:noHBand="0" w:noVBand="1"/>
      </w:tblPr>
      <w:tblGrid>
        <w:gridCol w:w="4673"/>
        <w:gridCol w:w="4678"/>
      </w:tblGrid>
      <w:tr w:rsidR="00073516" w14:paraId="51A6ABA2" w14:textId="77777777" w:rsidTr="006A1D23">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010035"/>
            <w:vAlign w:val="top"/>
          </w:tcPr>
          <w:p w14:paraId="1DC2589B" w14:textId="77777777" w:rsidR="00073516" w:rsidRPr="001A3B28" w:rsidRDefault="00073516" w:rsidP="00B51F63">
            <w:pPr>
              <w:spacing w:after="100"/>
            </w:pPr>
            <w:r>
              <w:rPr>
                <w:rFonts w:cs="Inter ExtraBold"/>
                <w:b/>
                <w:bCs/>
                <w:sz w:val="23"/>
                <w:szCs w:val="23"/>
              </w:rPr>
              <w:t>Advantage</w:t>
            </w:r>
            <w:r w:rsidRPr="001A3B28">
              <w:rPr>
                <w:rFonts w:cs="Inter ExtraBold"/>
                <w:b/>
                <w:bCs/>
                <w:sz w:val="23"/>
                <w:szCs w:val="23"/>
              </w:rPr>
              <w:t xml:space="preserve"> </w:t>
            </w:r>
          </w:p>
        </w:tc>
        <w:tc>
          <w:tcPr>
            <w:tcW w:w="4678" w:type="dxa"/>
            <w:shd w:val="clear" w:color="auto" w:fill="010035"/>
            <w:vAlign w:val="top"/>
          </w:tcPr>
          <w:p w14:paraId="43CE051B" w14:textId="77777777" w:rsidR="00073516" w:rsidRPr="001A3B28" w:rsidRDefault="00073516" w:rsidP="00B51F63">
            <w:pPr>
              <w:spacing w:after="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r>
      <w:tr w:rsidR="00073516" w14:paraId="1B206F0A" w14:textId="77777777" w:rsidTr="006A1D23">
        <w:trPr>
          <w:trHeight w:val="1106"/>
        </w:trPr>
        <w:tc>
          <w:tcPr>
            <w:cnfStyle w:val="001000000000" w:firstRow="0" w:lastRow="0" w:firstColumn="1" w:lastColumn="0" w:oddVBand="0" w:evenVBand="0" w:oddHBand="0" w:evenHBand="0" w:firstRowFirstColumn="0" w:firstRowLastColumn="0" w:lastRowFirstColumn="0" w:lastRowLastColumn="0"/>
            <w:tcW w:w="4673" w:type="dxa"/>
            <w:vAlign w:val="top"/>
          </w:tcPr>
          <w:p w14:paraId="021342FE" w14:textId="77777777" w:rsidR="00073516" w:rsidRPr="00C73A15" w:rsidRDefault="00073516" w:rsidP="00A46278">
            <w:pPr>
              <w:spacing w:after="100"/>
            </w:pPr>
            <w:r w:rsidRPr="00E241D6">
              <w:rPr>
                <w:rFonts w:cs="Inter"/>
                <w:color w:val="000000"/>
              </w:rPr>
              <w:t>Australia is a trusted exporter of a wide range of agricultural products and a major supplier for growing global markets.</w:t>
            </w:r>
          </w:p>
        </w:tc>
        <w:tc>
          <w:tcPr>
            <w:tcW w:w="4678" w:type="dxa"/>
            <w:vAlign w:val="top"/>
          </w:tcPr>
          <w:p w14:paraId="37FDB548" w14:textId="77777777" w:rsidR="00073516" w:rsidRDefault="00073516" w:rsidP="00630B2E">
            <w:pPr>
              <w:cnfStyle w:val="000000000000" w:firstRow="0" w:lastRow="0" w:firstColumn="0" w:lastColumn="0" w:oddVBand="0" w:evenVBand="0" w:oddHBand="0" w:evenHBand="0" w:firstRowFirstColumn="0" w:firstRowLastColumn="0" w:lastRowFirstColumn="0" w:lastRowLastColumn="0"/>
            </w:pPr>
            <w:r w:rsidRPr="00F00E84">
              <w:t>To increase agricultural productivity and value-add while expanding Australia’s trusted brand into new markets and supporting sustainability and conservation goals.</w:t>
            </w:r>
          </w:p>
        </w:tc>
      </w:tr>
    </w:tbl>
    <w:p w14:paraId="4650A1FB" w14:textId="77777777" w:rsidR="00073516" w:rsidRPr="009C05D4" w:rsidRDefault="00073516" w:rsidP="009C05D4"/>
    <w:p w14:paraId="1E6301BD" w14:textId="77777777" w:rsidR="00073516" w:rsidRDefault="00073516" w:rsidP="0094344D">
      <w:pPr>
        <w:pStyle w:val="Heading2"/>
      </w:pPr>
      <w:r>
        <w:t xml:space="preserve">Research strength </w:t>
      </w:r>
    </w:p>
    <w:p w14:paraId="5746642F" w14:textId="77777777" w:rsidR="00073516" w:rsidRDefault="00073516" w:rsidP="000C1149">
      <w:pPr>
        <w:spacing w:after="600"/>
      </w:pPr>
      <w:r>
        <w:rPr>
          <w:b/>
          <w:bCs/>
          <w:noProof/>
        </w:rPr>
        <w:drawing>
          <wp:anchor distT="0" distB="0" distL="114300" distR="114300" simplePos="0" relativeHeight="251681794" behindDoc="0" locked="0" layoutInCell="1" allowOverlap="1" wp14:anchorId="672D149F" wp14:editId="607AAC43">
            <wp:simplePos x="0" y="0"/>
            <wp:positionH relativeFrom="column">
              <wp:posOffset>22860</wp:posOffset>
            </wp:positionH>
            <wp:positionV relativeFrom="paragraph">
              <wp:posOffset>421005</wp:posOffset>
            </wp:positionV>
            <wp:extent cx="766445" cy="776605"/>
            <wp:effectExtent l="0" t="0" r="0" b="4445"/>
            <wp:wrapSquare wrapText="bothSides"/>
            <wp:docPr id="17684175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5809" name="Picture 2">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66445" cy="776605"/>
                    </a:xfrm>
                    <a:prstGeom prst="rect">
                      <a:avLst/>
                    </a:prstGeom>
                  </pic:spPr>
                </pic:pic>
              </a:graphicData>
            </a:graphic>
            <wp14:sizeRelH relativeFrom="margin">
              <wp14:pctWidth>0</wp14:pctWidth>
            </wp14:sizeRelH>
            <wp14:sizeRelV relativeFrom="margin">
              <wp14:pctHeight>0</wp14:pctHeight>
            </wp14:sizeRelV>
          </wp:anchor>
        </w:drawing>
      </w:r>
      <w:r w:rsidRPr="003327EB">
        <w:t xml:space="preserve">Australia’s rank in the OECD calculated using 2018-2022 bibliometric data from Elsevier’s </w:t>
      </w:r>
      <w:proofErr w:type="spellStart"/>
      <w:r w:rsidRPr="003327EB">
        <w:t>SciVal</w:t>
      </w:r>
      <w:proofErr w:type="spellEnd"/>
      <w:r w:rsidRPr="003327EB">
        <w:t>. Digital agriculture was defined using custom search terms</w:t>
      </w:r>
    </w:p>
    <w:p w14:paraId="427E4594" w14:textId="77777777" w:rsidR="00073516" w:rsidRPr="00CC5CA1" w:rsidRDefault="00073516" w:rsidP="00D67246">
      <w:pPr>
        <w:spacing w:after="960"/>
        <w:ind w:left="1701"/>
        <w:rPr>
          <w:highlight w:val="yellow"/>
        </w:rPr>
      </w:pPr>
      <w:r>
        <w:rPr>
          <w:b/>
          <w:bCs/>
          <w:noProof/>
        </w:rPr>
        <w:drawing>
          <wp:anchor distT="0" distB="0" distL="114300" distR="114300" simplePos="0" relativeHeight="251680770" behindDoc="1" locked="0" layoutInCell="1" allowOverlap="1" wp14:anchorId="221EF229" wp14:editId="11F78A20">
            <wp:simplePos x="0" y="0"/>
            <wp:positionH relativeFrom="margin">
              <wp:align>left</wp:align>
            </wp:positionH>
            <wp:positionV relativeFrom="paragraph">
              <wp:posOffset>510540</wp:posOffset>
            </wp:positionV>
            <wp:extent cx="788670" cy="799465"/>
            <wp:effectExtent l="0" t="0" r="0" b="635"/>
            <wp:wrapThrough wrapText="bothSides">
              <wp:wrapPolygon edited="0">
                <wp:start x="6261" y="515"/>
                <wp:lineTo x="3130" y="3088"/>
                <wp:lineTo x="0" y="7720"/>
                <wp:lineTo x="0" y="12867"/>
                <wp:lineTo x="1565" y="18014"/>
                <wp:lineTo x="6261" y="20588"/>
                <wp:lineTo x="6783" y="21102"/>
                <wp:lineTo x="13565" y="21102"/>
                <wp:lineTo x="14087" y="20588"/>
                <wp:lineTo x="18261" y="18014"/>
                <wp:lineTo x="20870" y="11838"/>
                <wp:lineTo x="20870" y="8235"/>
                <wp:lineTo x="17217" y="3603"/>
                <wp:lineTo x="14087" y="515"/>
                <wp:lineTo x="6261" y="515"/>
              </wp:wrapPolygon>
            </wp:wrapThrough>
            <wp:docPr id="13619911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24326" name="Picture 1">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Pr>
          <w:b/>
          <w:bCs/>
        </w:rPr>
        <w:t>6</w:t>
      </w:r>
      <w:r w:rsidRPr="00B569FB">
        <w:rPr>
          <w:b/>
          <w:bCs/>
          <w:vertAlign w:val="superscript"/>
        </w:rPr>
        <w:t>th</w:t>
      </w:r>
      <w:r w:rsidRPr="00B569FB">
        <w:rPr>
          <w:b/>
          <w:bCs/>
        </w:rPr>
        <w:t xml:space="preserve"> </w:t>
      </w:r>
      <w:r>
        <w:rPr>
          <w:b/>
          <w:bCs/>
        </w:rPr>
        <w:t xml:space="preserve">– </w:t>
      </w:r>
      <w:r w:rsidRPr="00B569FB">
        <w:rPr>
          <w:b/>
          <w:bCs/>
        </w:rPr>
        <w:t>Output</w:t>
      </w:r>
      <w:r w:rsidRPr="00830166">
        <w:t>: number of scholarly papers</w:t>
      </w:r>
    </w:p>
    <w:p w14:paraId="014004D4" w14:textId="77777777" w:rsidR="00073516" w:rsidRPr="00CC5CA1" w:rsidRDefault="00073516" w:rsidP="00D67246">
      <w:pPr>
        <w:spacing w:after="960"/>
        <w:ind w:left="1701"/>
        <w:rPr>
          <w:highlight w:val="yellow"/>
        </w:rPr>
      </w:pPr>
      <w:r>
        <w:rPr>
          <w:b/>
          <w:bCs/>
          <w:noProof/>
        </w:rPr>
        <w:drawing>
          <wp:anchor distT="0" distB="0" distL="114300" distR="114300" simplePos="0" relativeHeight="251682818" behindDoc="0" locked="0" layoutInCell="1" allowOverlap="1" wp14:anchorId="6E1EE680" wp14:editId="2055ADC1">
            <wp:simplePos x="0" y="0"/>
            <wp:positionH relativeFrom="margin">
              <wp:align>left</wp:align>
            </wp:positionH>
            <wp:positionV relativeFrom="paragraph">
              <wp:posOffset>577850</wp:posOffset>
            </wp:positionV>
            <wp:extent cx="788670" cy="799465"/>
            <wp:effectExtent l="0" t="0" r="0" b="635"/>
            <wp:wrapSquare wrapText="bothSides"/>
            <wp:docPr id="35073503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09148" name="Picture 3">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Pr>
          <w:b/>
          <w:bCs/>
        </w:rPr>
        <w:t>4</w:t>
      </w:r>
      <w:r w:rsidRPr="00CF58F3">
        <w:rPr>
          <w:b/>
          <w:bCs/>
          <w:vertAlign w:val="superscript"/>
        </w:rPr>
        <w:t>th</w:t>
      </w:r>
      <w:r w:rsidRPr="00B569FB">
        <w:rPr>
          <w:b/>
          <w:bCs/>
        </w:rPr>
        <w:t xml:space="preserve"> </w:t>
      </w:r>
      <w:r>
        <w:rPr>
          <w:b/>
          <w:bCs/>
        </w:rPr>
        <w:t xml:space="preserve">– </w:t>
      </w:r>
      <w:r w:rsidRPr="00B569FB">
        <w:rPr>
          <w:b/>
          <w:bCs/>
        </w:rPr>
        <w:t>Impact:</w:t>
      </w:r>
      <w:r w:rsidRPr="00884F60">
        <w:t xml:space="preserve"> field-weighted citation impact </w:t>
      </w:r>
    </w:p>
    <w:p w14:paraId="1005E620" w14:textId="77777777" w:rsidR="00073516" w:rsidRDefault="00073516" w:rsidP="00D67246">
      <w:pPr>
        <w:spacing w:after="1320"/>
        <w:ind w:left="1701"/>
        <w:rPr>
          <w:b/>
          <w:bCs/>
        </w:rPr>
      </w:pPr>
      <w:r>
        <w:rPr>
          <w:b/>
          <w:bCs/>
        </w:rPr>
        <w:t>2</w:t>
      </w:r>
      <w:r w:rsidRPr="00CF58F3">
        <w:rPr>
          <w:b/>
          <w:bCs/>
          <w:vertAlign w:val="superscript"/>
        </w:rPr>
        <w:t>nd</w:t>
      </w:r>
      <w:r w:rsidRPr="00B569FB">
        <w:rPr>
          <w:b/>
          <w:bCs/>
        </w:rPr>
        <w:t xml:space="preserve"> </w:t>
      </w:r>
      <w:r>
        <w:rPr>
          <w:b/>
          <w:bCs/>
        </w:rPr>
        <w:t xml:space="preserve">– </w:t>
      </w:r>
      <w:r w:rsidRPr="00B569FB">
        <w:rPr>
          <w:b/>
          <w:bCs/>
        </w:rPr>
        <w:t>Quality:</w:t>
      </w:r>
      <w:r w:rsidRPr="00884F60">
        <w:t xml:space="preserve"> </w:t>
      </w:r>
      <w:proofErr w:type="gramStart"/>
      <w:r w:rsidRPr="00884F60">
        <w:t>amount</w:t>
      </w:r>
      <w:proofErr w:type="gramEnd"/>
      <w:r w:rsidRPr="00884F60">
        <w:t xml:space="preserve"> of papers in 10% most cited journal</w:t>
      </w:r>
    </w:p>
    <w:p w14:paraId="4D5A1A70" w14:textId="77777777" w:rsidR="00073516" w:rsidRPr="00D86090" w:rsidRDefault="00073516" w:rsidP="00D86090">
      <w:pPr>
        <w:pStyle w:val="Heading2"/>
      </w:pPr>
      <w:r>
        <w:rPr>
          <w:noProof/>
        </w:rPr>
        <w:drawing>
          <wp:anchor distT="0" distB="0" distL="114300" distR="114300" simplePos="0" relativeHeight="251679746" behindDoc="1" locked="0" layoutInCell="1" allowOverlap="1" wp14:anchorId="1A64523E" wp14:editId="15B3E6CC">
            <wp:simplePos x="0" y="0"/>
            <wp:positionH relativeFrom="column">
              <wp:posOffset>-190500</wp:posOffset>
            </wp:positionH>
            <wp:positionV relativeFrom="paragraph">
              <wp:posOffset>503202</wp:posOffset>
            </wp:positionV>
            <wp:extent cx="1096645" cy="1098620"/>
            <wp:effectExtent l="0" t="0" r="8255" b="6350"/>
            <wp:wrapNone/>
            <wp:docPr id="104881160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03067" name="Picture 2">
                      <a:extLst>
                        <a:ext uri="{C183D7F6-B498-43B3-948B-1728B52AA6E4}">
                          <adec:decorative xmlns:adec="http://schemas.microsoft.com/office/drawing/2017/decorative" val="1"/>
                        </a:ext>
                      </a:extLst>
                    </pic:cNvPr>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096645" cy="1098620"/>
                    </a:xfrm>
                    <a:prstGeom prst="rect">
                      <a:avLst/>
                    </a:prstGeom>
                  </pic:spPr>
                </pic:pic>
              </a:graphicData>
            </a:graphic>
          </wp:anchor>
        </w:drawing>
      </w:r>
      <w:r w:rsidRPr="00D86090">
        <w:t xml:space="preserve">IP potential </w:t>
      </w:r>
    </w:p>
    <w:p w14:paraId="14B5249A" w14:textId="77777777" w:rsidR="00073516" w:rsidRPr="00B569FB" w:rsidRDefault="00073516" w:rsidP="00D67246">
      <w:pPr>
        <w:ind w:left="1701"/>
        <w:rPr>
          <w:b/>
          <w:bCs/>
        </w:rPr>
      </w:pPr>
      <w:r>
        <w:rPr>
          <w:b/>
          <w:bCs/>
        </w:rPr>
        <w:t>97</w:t>
      </w:r>
      <w:r w:rsidRPr="00B569FB">
        <w:rPr>
          <w:b/>
          <w:bCs/>
        </w:rPr>
        <w:t>%</w:t>
      </w:r>
    </w:p>
    <w:p w14:paraId="0449E4F1" w14:textId="77777777" w:rsidR="00073516" w:rsidRPr="00D86090" w:rsidRDefault="00073516" w:rsidP="00D67246">
      <w:pPr>
        <w:ind w:left="1701"/>
      </w:pPr>
      <w:r w:rsidRPr="00D86090">
        <w:t xml:space="preserve">Australia’s share of publications cited in patent applications compared to the OECD average expressed as a percentage. </w:t>
      </w:r>
    </w:p>
    <w:p w14:paraId="21E09F7C" w14:textId="77777777" w:rsidR="00073516" w:rsidRPr="00D86090" w:rsidRDefault="00073516" w:rsidP="00D67246">
      <w:pPr>
        <w:spacing w:after="1200"/>
        <w:ind w:left="1701"/>
      </w:pPr>
      <w:r w:rsidRPr="00D86090">
        <w:t xml:space="preserve">Refers to 2018-2022 patent and publication data in the Lens database. </w:t>
      </w:r>
    </w:p>
    <w:p w14:paraId="415318C9" w14:textId="77777777" w:rsidR="00073516" w:rsidRDefault="00073516" w:rsidP="00D86090">
      <w:pPr>
        <w:pStyle w:val="Heading2"/>
      </w:pPr>
      <w:r w:rsidRPr="00D86090">
        <w:t xml:space="preserve">Market opportunity assessment </w:t>
      </w:r>
    </w:p>
    <w:p w14:paraId="2BEAAE76" w14:textId="77777777" w:rsidR="00073516" w:rsidRDefault="00073516" w:rsidP="00073516">
      <w:pPr>
        <w:pStyle w:val="ListParagraph"/>
        <w:numPr>
          <w:ilvl w:val="0"/>
          <w:numId w:val="62"/>
        </w:numPr>
        <w:spacing w:after="160"/>
      </w:pPr>
      <w:r w:rsidRPr="00F8583A">
        <w:t>Australian market size of AU$12.4 billion in 2020</w:t>
      </w:r>
      <w:r>
        <w:rPr>
          <w:rStyle w:val="FootnoteReference"/>
        </w:rPr>
        <w:footnoteReference w:id="9"/>
      </w:r>
    </w:p>
    <w:p w14:paraId="6533BDBB" w14:textId="77777777" w:rsidR="00073516" w:rsidRDefault="00073516" w:rsidP="00073516">
      <w:pPr>
        <w:pStyle w:val="ListParagraph"/>
        <w:numPr>
          <w:ilvl w:val="0"/>
          <w:numId w:val="62"/>
        </w:numPr>
        <w:spacing w:after="160"/>
      </w:pPr>
      <w:r w:rsidRPr="00F8583A">
        <w:t>Predicted compound annual market growth of 18.4% from 2020-</w:t>
      </w:r>
      <w:r>
        <w:t>20</w:t>
      </w:r>
      <w:r w:rsidRPr="00F8583A">
        <w:t>26</w:t>
      </w:r>
      <w:r>
        <w:rPr>
          <w:rStyle w:val="FootnoteReference"/>
        </w:rPr>
        <w:footnoteReference w:id="10"/>
      </w:r>
    </w:p>
    <w:p w14:paraId="0D02991C" w14:textId="77777777" w:rsidR="00073516" w:rsidRDefault="00073516" w:rsidP="00073516">
      <w:pPr>
        <w:pStyle w:val="ListParagraph"/>
        <w:numPr>
          <w:ilvl w:val="0"/>
          <w:numId w:val="62"/>
        </w:numPr>
        <w:spacing w:after="160"/>
      </w:pPr>
      <w:r w:rsidRPr="00F8583A">
        <w:t>Global market size of AU$31 billion in 2024</w:t>
      </w:r>
      <w:r>
        <w:rPr>
          <w:rStyle w:val="FootnoteReference"/>
        </w:rPr>
        <w:footnoteReference w:id="11"/>
      </w:r>
    </w:p>
    <w:p w14:paraId="37B88969" w14:textId="77777777" w:rsidR="00073516" w:rsidRDefault="00073516" w:rsidP="00073516">
      <w:pPr>
        <w:pStyle w:val="ListParagraph"/>
        <w:numPr>
          <w:ilvl w:val="0"/>
          <w:numId w:val="62"/>
        </w:numPr>
        <w:spacing w:after="160"/>
      </w:pPr>
      <w:r w:rsidRPr="00F8583A">
        <w:lastRenderedPageBreak/>
        <w:t>Predicted global compound annual growth rate of 10.5% from 2024-2029</w:t>
      </w:r>
      <w:r>
        <w:rPr>
          <w:rStyle w:val="FootnoteReference"/>
        </w:rPr>
        <w:footnoteReference w:id="12"/>
      </w:r>
    </w:p>
    <w:p w14:paraId="3D7C4A80" w14:textId="77777777" w:rsidR="00073516" w:rsidRDefault="00073516" w:rsidP="006F355B"/>
    <w:p w14:paraId="28CEF5EA" w14:textId="77777777" w:rsidR="00073516" w:rsidRPr="00D86090" w:rsidRDefault="00073516" w:rsidP="00D86090">
      <w:pPr>
        <w:pStyle w:val="Heading2"/>
      </w:pPr>
      <w:r w:rsidRPr="00D86090">
        <w:t xml:space="preserve">Example industry problems </w:t>
      </w:r>
    </w:p>
    <w:p w14:paraId="26BCE541" w14:textId="77777777" w:rsidR="00073516" w:rsidRDefault="00073516" w:rsidP="004C7CFE">
      <w:r w:rsidRPr="00D86090">
        <w:t>AEA aims to provide developmental support for promising research commercialisation projects at the proof-of-concept or proof-of-scale level (TRL stages 3-7). Successful projects will scale up to meet emerging industry needs.</w:t>
      </w:r>
    </w:p>
    <w:tbl>
      <w:tblPr>
        <w:tblStyle w:val="EDU-Basic"/>
        <w:tblW w:w="0" w:type="auto"/>
        <w:tblLook w:val="04A0" w:firstRow="1" w:lastRow="0" w:firstColumn="1" w:lastColumn="0" w:noHBand="0" w:noVBand="1"/>
      </w:tblPr>
      <w:tblGrid>
        <w:gridCol w:w="3005"/>
        <w:gridCol w:w="3005"/>
        <w:gridCol w:w="3006"/>
      </w:tblGrid>
      <w:tr w:rsidR="00073516" w14:paraId="3BCB2163" w14:textId="77777777" w:rsidTr="00B2557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010035"/>
            <w:vAlign w:val="top"/>
          </w:tcPr>
          <w:p w14:paraId="37B3C0E3" w14:textId="77777777" w:rsidR="00073516" w:rsidRPr="001A3B28" w:rsidRDefault="00073516" w:rsidP="00DD0C70">
            <w:pPr>
              <w:spacing w:after="100"/>
            </w:pPr>
            <w:r w:rsidRPr="001A3B28">
              <w:rPr>
                <w:rFonts w:cs="Inter ExtraBold"/>
                <w:b/>
                <w:bCs/>
                <w:sz w:val="23"/>
                <w:szCs w:val="23"/>
              </w:rPr>
              <w:t xml:space="preserve">Industry problem </w:t>
            </w:r>
          </w:p>
        </w:tc>
        <w:tc>
          <w:tcPr>
            <w:tcW w:w="3005" w:type="dxa"/>
            <w:shd w:val="clear" w:color="auto" w:fill="010035"/>
            <w:vAlign w:val="top"/>
          </w:tcPr>
          <w:p w14:paraId="05FB88E1" w14:textId="77777777" w:rsidR="00073516" w:rsidRPr="001A3B28" w:rsidRDefault="00073516"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c>
          <w:tcPr>
            <w:tcW w:w="3006" w:type="dxa"/>
            <w:shd w:val="clear" w:color="auto" w:fill="010035"/>
            <w:vAlign w:val="top"/>
          </w:tcPr>
          <w:p w14:paraId="1DBECCFF" w14:textId="77777777" w:rsidR="00073516" w:rsidRPr="001A3B28" w:rsidRDefault="00073516"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Impact </w:t>
            </w:r>
          </w:p>
        </w:tc>
      </w:tr>
      <w:tr w:rsidR="00073516" w14:paraId="175F1190" w14:textId="77777777" w:rsidTr="00D0180F">
        <w:trPr>
          <w:trHeight w:val="1415"/>
        </w:trPr>
        <w:tc>
          <w:tcPr>
            <w:cnfStyle w:val="001000000000" w:firstRow="0" w:lastRow="0" w:firstColumn="1" w:lastColumn="0" w:oddVBand="0" w:evenVBand="0" w:oddHBand="0" w:evenHBand="0" w:firstRowFirstColumn="0" w:firstRowLastColumn="0" w:lastRowFirstColumn="0" w:lastRowLastColumn="0"/>
            <w:tcW w:w="3005" w:type="dxa"/>
            <w:vAlign w:val="top"/>
          </w:tcPr>
          <w:p w14:paraId="7ACCA921" w14:textId="77777777" w:rsidR="00073516" w:rsidRDefault="00073516" w:rsidP="00054793">
            <w:r w:rsidRPr="00F806F6">
              <w:t>New consumer and trade partner demands for origin and sustainability information on products requires new levels of traceability.</w:t>
            </w:r>
          </w:p>
        </w:tc>
        <w:tc>
          <w:tcPr>
            <w:tcW w:w="3005" w:type="dxa"/>
            <w:vAlign w:val="top"/>
          </w:tcPr>
          <w:p w14:paraId="188152D9" w14:textId="77777777" w:rsidR="00073516" w:rsidRDefault="00073516" w:rsidP="00054793">
            <w:pPr>
              <w:cnfStyle w:val="000000000000" w:firstRow="0" w:lastRow="0" w:firstColumn="0" w:lastColumn="0" w:oddVBand="0" w:evenVBand="0" w:oddHBand="0" w:evenHBand="0" w:firstRowFirstColumn="0" w:firstRowLastColumn="0" w:lastRowFirstColumn="0" w:lastRowLastColumn="0"/>
            </w:pPr>
            <w:r w:rsidRPr="00412914">
              <w:t>Development of systems or tools for guaranteeing product characteristics and origin; and for tracing and optimising agricultural supply chains.</w:t>
            </w:r>
          </w:p>
        </w:tc>
        <w:tc>
          <w:tcPr>
            <w:tcW w:w="3006" w:type="dxa"/>
            <w:vAlign w:val="top"/>
          </w:tcPr>
          <w:p w14:paraId="34540C0D" w14:textId="77777777" w:rsidR="00073516" w:rsidRDefault="00073516" w:rsidP="00054793">
            <w:pPr>
              <w:cnfStyle w:val="000000000000" w:firstRow="0" w:lastRow="0" w:firstColumn="0" w:lastColumn="0" w:oddVBand="0" w:evenVBand="0" w:oddHBand="0" w:evenHBand="0" w:firstRowFirstColumn="0" w:firstRowLastColumn="0" w:lastRowFirstColumn="0" w:lastRowLastColumn="0"/>
            </w:pPr>
            <w:r w:rsidRPr="00412914">
              <w:t>Bolstering Australia’s global reputation as a high-quality producer of agricultural products and capitalising on emerging consumer markets.</w:t>
            </w:r>
          </w:p>
        </w:tc>
      </w:tr>
      <w:tr w:rsidR="00073516" w14:paraId="657415FA" w14:textId="77777777" w:rsidTr="00D0180F">
        <w:trPr>
          <w:trHeight w:val="1705"/>
        </w:trPr>
        <w:tc>
          <w:tcPr>
            <w:cnfStyle w:val="001000000000" w:firstRow="0" w:lastRow="0" w:firstColumn="1" w:lastColumn="0" w:oddVBand="0" w:evenVBand="0" w:oddHBand="0" w:evenHBand="0" w:firstRowFirstColumn="0" w:firstRowLastColumn="0" w:lastRowFirstColumn="0" w:lastRowLastColumn="0"/>
            <w:tcW w:w="3005" w:type="dxa"/>
            <w:vAlign w:val="top"/>
          </w:tcPr>
          <w:p w14:paraId="353175B0" w14:textId="77777777" w:rsidR="00073516" w:rsidRDefault="00073516" w:rsidP="00054793">
            <w:r w:rsidRPr="00AC32AE">
              <w:t>Labour shortages and relatively high labour costs increase the volatility and decrease the competitiveness of some Australian agricultural products.</w:t>
            </w:r>
          </w:p>
        </w:tc>
        <w:tc>
          <w:tcPr>
            <w:tcW w:w="3005" w:type="dxa"/>
            <w:vAlign w:val="top"/>
          </w:tcPr>
          <w:p w14:paraId="457CB981" w14:textId="77777777" w:rsidR="00073516" w:rsidRDefault="00073516" w:rsidP="00996FBC">
            <w:pPr>
              <w:cnfStyle w:val="000000000000" w:firstRow="0" w:lastRow="0" w:firstColumn="0" w:lastColumn="0" w:oddVBand="0" w:evenVBand="0" w:oddHBand="0" w:evenHBand="0" w:firstRowFirstColumn="0" w:firstRowLastColumn="0" w:lastRowFirstColumn="0" w:lastRowLastColumn="0"/>
            </w:pPr>
            <w:r w:rsidRPr="00412914">
              <w:t>Applying precision agriculture and physical automation systems to offset labour costs and increase productivity in areas such as harvest or post-harvest processing.</w:t>
            </w:r>
          </w:p>
        </w:tc>
        <w:tc>
          <w:tcPr>
            <w:tcW w:w="3006" w:type="dxa"/>
            <w:vAlign w:val="top"/>
          </w:tcPr>
          <w:p w14:paraId="5CE55829" w14:textId="77777777" w:rsidR="00073516" w:rsidRDefault="00073516" w:rsidP="00054793">
            <w:pPr>
              <w:cnfStyle w:val="000000000000" w:firstRow="0" w:lastRow="0" w:firstColumn="0" w:lastColumn="0" w:oddVBand="0" w:evenVBand="0" w:oddHBand="0" w:evenHBand="0" w:firstRowFirstColumn="0" w:firstRowLastColumn="0" w:lastRowFirstColumn="0" w:lastRowLastColumn="0"/>
            </w:pPr>
            <w:r w:rsidRPr="00412914">
              <w:t>Reduce dependence on volatile labour flows and increase the competitiveness of Australia’s agricultural products.</w:t>
            </w:r>
          </w:p>
        </w:tc>
      </w:tr>
      <w:tr w:rsidR="00073516" w14:paraId="3DC53321" w14:textId="77777777" w:rsidTr="005059C6">
        <w:trPr>
          <w:trHeight w:val="1673"/>
        </w:trPr>
        <w:tc>
          <w:tcPr>
            <w:cnfStyle w:val="001000000000" w:firstRow="0" w:lastRow="0" w:firstColumn="1" w:lastColumn="0" w:oddVBand="0" w:evenVBand="0" w:oddHBand="0" w:evenHBand="0" w:firstRowFirstColumn="0" w:firstRowLastColumn="0" w:lastRowFirstColumn="0" w:lastRowLastColumn="0"/>
            <w:tcW w:w="3005" w:type="dxa"/>
            <w:vAlign w:val="top"/>
          </w:tcPr>
          <w:p w14:paraId="317C060B" w14:textId="77777777" w:rsidR="00073516" w:rsidRDefault="00073516" w:rsidP="00054793">
            <w:r w:rsidRPr="00AC32AE">
              <w:t>Climate change and general environmental volatility present risks to the viability of core agricultural products, particularly in the crop and horticulture sectors</w:t>
            </w:r>
            <w:r>
              <w:t>.</w:t>
            </w:r>
          </w:p>
        </w:tc>
        <w:tc>
          <w:tcPr>
            <w:tcW w:w="3005" w:type="dxa"/>
            <w:vAlign w:val="top"/>
          </w:tcPr>
          <w:p w14:paraId="7E008EE3" w14:textId="77777777" w:rsidR="00073516" w:rsidRDefault="00073516" w:rsidP="00054793">
            <w:pPr>
              <w:cnfStyle w:val="000000000000" w:firstRow="0" w:lastRow="0" w:firstColumn="0" w:lastColumn="0" w:oddVBand="0" w:evenVBand="0" w:oddHBand="0" w:evenHBand="0" w:firstRowFirstColumn="0" w:firstRowLastColumn="0" w:lastRowFirstColumn="0" w:lastRowLastColumn="0"/>
            </w:pPr>
            <w:r w:rsidRPr="00AC32AE">
              <w:t>Applying sensors and IoT solutions to enable adaptive intervention and detailed monitoring for crops, including in areas like irrigation and soil health.</w:t>
            </w:r>
          </w:p>
        </w:tc>
        <w:tc>
          <w:tcPr>
            <w:tcW w:w="3006" w:type="dxa"/>
            <w:vAlign w:val="top"/>
          </w:tcPr>
          <w:p w14:paraId="767691D3" w14:textId="77777777" w:rsidR="00073516" w:rsidRDefault="00073516" w:rsidP="00054793">
            <w:pPr>
              <w:cnfStyle w:val="000000000000" w:firstRow="0" w:lastRow="0" w:firstColumn="0" w:lastColumn="0" w:oddVBand="0" w:evenVBand="0" w:oddHBand="0" w:evenHBand="0" w:firstRowFirstColumn="0" w:firstRowLastColumn="0" w:lastRowFirstColumn="0" w:lastRowLastColumn="0"/>
            </w:pPr>
            <w:r w:rsidRPr="006C0D0A">
              <w:t>Reduce the impact of a volatile climate on Australia’s agricultural output and mitigate against loss and damage and any resultant disruptions to trade.</w:t>
            </w:r>
          </w:p>
        </w:tc>
      </w:tr>
    </w:tbl>
    <w:p w14:paraId="51474CFB" w14:textId="77777777" w:rsidR="00073516" w:rsidRDefault="00073516" w:rsidP="001A3B28">
      <w:pPr>
        <w:pStyle w:val="ListNumber4"/>
        <w:numPr>
          <w:ilvl w:val="0"/>
          <w:numId w:val="0"/>
        </w:numPr>
      </w:pPr>
    </w:p>
    <w:p w14:paraId="37612AC7" w14:textId="77777777" w:rsidR="00073516" w:rsidRPr="00C2482C" w:rsidRDefault="00073516" w:rsidP="00C2482C">
      <w:pPr>
        <w:pStyle w:val="Heading2"/>
      </w:pPr>
      <w:r w:rsidRPr="00C2482C">
        <w:t xml:space="preserve">Other public investment options </w:t>
      </w:r>
    </w:p>
    <w:p w14:paraId="25B2D5DB" w14:textId="77777777" w:rsidR="00073516" w:rsidRPr="00CB7C89" w:rsidRDefault="00073516" w:rsidP="00B24747">
      <w:pPr>
        <w:pStyle w:val="ListBullet"/>
        <w:numPr>
          <w:ilvl w:val="0"/>
          <w:numId w:val="0"/>
        </w:numPr>
        <w:ind w:left="360" w:hanging="360"/>
        <w:rPr>
          <w:u w:val="single"/>
        </w:rPr>
      </w:pPr>
      <w:r w:rsidRPr="00B24747">
        <w:t xml:space="preserve">• </w:t>
      </w:r>
      <w:hyperlink r:id="rId80" w:history="1">
        <w:r w:rsidRPr="006B292F">
          <w:rPr>
            <w:rStyle w:val="Hyperlink"/>
            <w:color w:val="215E9F"/>
          </w:rPr>
          <w:t>Agricultural Traceability Grants</w:t>
        </w:r>
      </w:hyperlink>
      <w:r w:rsidRPr="006B292F">
        <w:rPr>
          <w:color w:val="215E9F"/>
          <w:u w:val="single"/>
        </w:rPr>
        <w:t xml:space="preserve"> </w:t>
      </w:r>
    </w:p>
    <w:p w14:paraId="58C309EC" w14:textId="77777777" w:rsidR="00073516" w:rsidRPr="006B292F" w:rsidRDefault="00073516" w:rsidP="00B24747">
      <w:pPr>
        <w:pStyle w:val="ListBullet"/>
        <w:numPr>
          <w:ilvl w:val="0"/>
          <w:numId w:val="0"/>
        </w:numPr>
        <w:ind w:left="360" w:hanging="360"/>
        <w:rPr>
          <w:color w:val="215E9F"/>
          <w:u w:val="single"/>
        </w:rPr>
      </w:pPr>
      <w:r w:rsidRPr="00B24747">
        <w:t xml:space="preserve">• </w:t>
      </w:r>
      <w:hyperlink r:id="rId81" w:history="1">
        <w:r w:rsidRPr="006B292F">
          <w:rPr>
            <w:rStyle w:val="Hyperlink"/>
            <w:color w:val="215E9F"/>
          </w:rPr>
          <w:t>The National Reconstruction Fund</w:t>
        </w:r>
      </w:hyperlink>
      <w:r w:rsidRPr="006B292F">
        <w:rPr>
          <w:color w:val="215E9F"/>
          <w:u w:val="single"/>
        </w:rPr>
        <w:t xml:space="preserve"> </w:t>
      </w:r>
    </w:p>
    <w:p w14:paraId="4D609AFE" w14:textId="77777777" w:rsidR="00073516" w:rsidRDefault="00073516" w:rsidP="00B24747">
      <w:pPr>
        <w:pStyle w:val="ListBullet"/>
        <w:numPr>
          <w:ilvl w:val="0"/>
          <w:numId w:val="0"/>
        </w:numPr>
        <w:ind w:left="360" w:hanging="360"/>
      </w:pPr>
      <w:r w:rsidRPr="00B24747">
        <w:t xml:space="preserve">• </w:t>
      </w:r>
      <w:hyperlink r:id="rId82" w:history="1">
        <w:r w:rsidRPr="006B292F">
          <w:rPr>
            <w:rStyle w:val="Hyperlink"/>
            <w:color w:val="215E9F"/>
          </w:rPr>
          <w:t>Industry Growth Program</w:t>
        </w:r>
      </w:hyperlink>
      <w:r w:rsidRPr="006B292F">
        <w:rPr>
          <w:color w:val="215E9F"/>
        </w:rPr>
        <w:t xml:space="preserve"> </w:t>
      </w:r>
    </w:p>
    <w:p w14:paraId="7C80740C" w14:textId="77777777" w:rsidR="002F00B1" w:rsidRDefault="00073516" w:rsidP="00B24747">
      <w:pPr>
        <w:pStyle w:val="ListBullet"/>
        <w:numPr>
          <w:ilvl w:val="0"/>
          <w:numId w:val="0"/>
        </w:numPr>
        <w:ind w:left="360" w:hanging="360"/>
        <w:rPr>
          <w:rStyle w:val="Hyperlink"/>
          <w:color w:val="215E9F"/>
        </w:rPr>
        <w:sectPr w:rsidR="002F00B1" w:rsidSect="00073516">
          <w:footerReference w:type="default" r:id="rId83"/>
          <w:pgSz w:w="11906" w:h="16838"/>
          <w:pgMar w:top="22" w:right="1440" w:bottom="1440" w:left="1440" w:header="708" w:footer="567" w:gutter="0"/>
          <w:cols w:space="708"/>
          <w:docGrid w:linePitch="360"/>
        </w:sectPr>
      </w:pPr>
      <w:r w:rsidRPr="00B24747">
        <w:t xml:space="preserve">• </w:t>
      </w:r>
      <w:hyperlink r:id="rId84" w:history="1">
        <w:r w:rsidRPr="006B292F">
          <w:rPr>
            <w:rStyle w:val="Hyperlink"/>
            <w:color w:val="215E9F"/>
          </w:rPr>
          <w:t>Rural Research and Development Corporations</w:t>
        </w:r>
      </w:hyperlink>
    </w:p>
    <w:p w14:paraId="38593F66" w14:textId="77777777" w:rsidR="003B0525" w:rsidRDefault="003B0525" w:rsidP="00064FD4">
      <w:pPr>
        <w:tabs>
          <w:tab w:val="left" w:pos="0"/>
        </w:tabs>
        <w:ind w:hanging="426"/>
      </w:pPr>
      <w:r>
        <w:rPr>
          <w:noProof/>
        </w:rPr>
        <w:lastRenderedPageBreak/>
        <w:drawing>
          <wp:anchor distT="0" distB="0" distL="114300" distR="114300" simplePos="0" relativeHeight="251692034" behindDoc="0" locked="0" layoutInCell="1" allowOverlap="1" wp14:anchorId="44D3DAA8" wp14:editId="5D2010C5">
            <wp:simplePos x="0" y="0"/>
            <wp:positionH relativeFrom="column">
              <wp:posOffset>4596765</wp:posOffset>
            </wp:positionH>
            <wp:positionV relativeFrom="paragraph">
              <wp:posOffset>240030</wp:posOffset>
            </wp:positionV>
            <wp:extent cx="1749425" cy="1772920"/>
            <wp:effectExtent l="0" t="0" r="3175" b="0"/>
            <wp:wrapSquare wrapText="bothSides"/>
            <wp:docPr id="65666776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1034" name="Picture 4">
                      <a:extLst>
                        <a:ext uri="{C183D7F6-B498-43B3-948B-1728B52AA6E4}">
                          <adec:decorative xmlns:adec="http://schemas.microsoft.com/office/drawing/2017/decorative" val="1"/>
                        </a:ext>
                      </a:extLst>
                    </pic:cNvPr>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1749425" cy="1772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815">
        <w:rPr>
          <w:b/>
          <w:bCs/>
          <w:noProof/>
        </w:rPr>
        <w:drawing>
          <wp:anchor distT="0" distB="0" distL="114300" distR="114300" simplePos="0" relativeHeight="251686914" behindDoc="1" locked="1" layoutInCell="1" allowOverlap="1" wp14:anchorId="36F67FFE" wp14:editId="29990579">
            <wp:simplePos x="0" y="0"/>
            <wp:positionH relativeFrom="page">
              <wp:align>left</wp:align>
            </wp:positionH>
            <wp:positionV relativeFrom="page">
              <wp:posOffset>25400</wp:posOffset>
            </wp:positionV>
            <wp:extent cx="7559675" cy="1565910"/>
            <wp:effectExtent l="0" t="0" r="3175" b="0"/>
            <wp:wrapNone/>
            <wp:docPr id="616282995" name="Picture 6162829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E73B065" wp14:editId="559DC32E">
            <wp:extent cx="1622002" cy="701675"/>
            <wp:effectExtent l="0" t="0" r="0" b="3175"/>
            <wp:docPr id="383936021"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12" cstate="print">
                      <a:extLst>
                        <a:ext uri="{28A0092B-C50C-407E-A947-70E740481C1C}">
                          <a14:useLocalDpi xmlns:a14="http://schemas.microsoft.com/office/drawing/2010/main" val="0"/>
                        </a:ext>
                      </a:extLst>
                    </a:blip>
                    <a:srcRect l="52996"/>
                    <a:stretch/>
                  </pic:blipFill>
                  <pic:spPr bwMode="auto">
                    <a:xfrm>
                      <a:off x="0" y="0"/>
                      <a:ext cx="1622753" cy="702000"/>
                    </a:xfrm>
                    <a:prstGeom prst="rect">
                      <a:avLst/>
                    </a:prstGeom>
                    <a:ln>
                      <a:noFill/>
                    </a:ln>
                    <a:extLst>
                      <a:ext uri="{53640926-AAD7-44D8-BBD7-CCE9431645EC}">
                        <a14:shadowObscured xmlns:a14="http://schemas.microsoft.com/office/drawing/2010/main"/>
                      </a:ext>
                    </a:extLst>
                  </pic:spPr>
                </pic:pic>
              </a:graphicData>
            </a:graphic>
          </wp:inline>
        </w:drawing>
      </w:r>
    </w:p>
    <w:p w14:paraId="52E1EE97" w14:textId="77777777" w:rsidR="003B0525" w:rsidRDefault="003B0525" w:rsidP="00706067">
      <w:pPr>
        <w:pStyle w:val="AppendixH1"/>
        <w:spacing w:before="1080"/>
      </w:pPr>
      <w:r>
        <w:t>Quantum</w:t>
      </w:r>
    </w:p>
    <w:p w14:paraId="408AFC15" w14:textId="77777777" w:rsidR="003B0525" w:rsidRDefault="003B0525" w:rsidP="0058654B">
      <w:pPr>
        <w:rPr>
          <w:rStyle w:val="A1"/>
        </w:rPr>
      </w:pPr>
    </w:p>
    <w:p w14:paraId="2EF59AAE" w14:textId="77777777" w:rsidR="003B0525" w:rsidRDefault="00C97261" w:rsidP="0058654B">
      <w:hyperlink r:id="rId86">
        <w:r w:rsidR="003B0525" w:rsidRPr="275D9F74">
          <w:rPr>
            <w:rStyle w:val="Hyperlink"/>
            <w:rFonts w:cs="Inter"/>
            <w:color w:val="215E9F"/>
          </w:rPr>
          <w:t>Australia’s Economic Accelerator</w:t>
        </w:r>
      </w:hyperlink>
      <w:r w:rsidR="003B0525" w:rsidRPr="275D9F74">
        <w:rPr>
          <w:rStyle w:val="A1"/>
        </w:rPr>
        <w:t xml:space="preserve"> </w:t>
      </w:r>
      <w:r w:rsidR="003B0525">
        <w:t xml:space="preserve">(AEA) is a $1.6 billion Australian Government investment aimed at transforming Australia’s research translation and commercialisation landscape. AEA grants support the Australian Government identified priority areas for the economy (outlined in </w:t>
      </w:r>
      <w:r w:rsidR="003B0525" w:rsidRPr="275D9F74">
        <w:rPr>
          <w:i/>
          <w:iCs/>
        </w:rPr>
        <w:t>the</w:t>
      </w:r>
      <w:r w:rsidR="003B0525" w:rsidRPr="275D9F74">
        <w:rPr>
          <w:i/>
          <w:iCs/>
          <w:color w:val="215E9F"/>
        </w:rPr>
        <w:t xml:space="preserve"> </w:t>
      </w:r>
      <w:hyperlink r:id="rId87">
        <w:r w:rsidR="003B0525" w:rsidRPr="275D9F74">
          <w:rPr>
            <w:rStyle w:val="Hyperlink"/>
            <w:i/>
            <w:iCs/>
            <w:color w:val="215E9F"/>
          </w:rPr>
          <w:t>National Reconstruction Fund Corporation (Priority Areas) Declaration 2023</w:t>
        </w:r>
      </w:hyperlink>
      <w:r w:rsidR="003B0525">
        <w:t xml:space="preserve">). Within these priorities, the first round of grants will prioritise projects that align with one or more of 6 focus areas, including advanced manufacturing, artificial intelligence, digital agriculture, quantum, sustainable fuels, and critical and strategic minerals processing. </w:t>
      </w:r>
    </w:p>
    <w:p w14:paraId="1F3BD204" w14:textId="77777777" w:rsidR="003B0525" w:rsidRDefault="003B0525" w:rsidP="00346FD9">
      <w:r w:rsidRPr="00F2113D">
        <w:t>Quantum technologies make downstream use of quantum physics principles to deliver innovations in sensing and measurement, positioning and timing, quantum communication and cryptography capabilities, and progress towards industry-ready quantum computation.</w:t>
      </w:r>
    </w:p>
    <w:p w14:paraId="54F49DE5" w14:textId="77777777" w:rsidR="003B0525" w:rsidRDefault="003B0525" w:rsidP="009C05D4">
      <w:pPr>
        <w:pStyle w:val="Heading2"/>
      </w:pPr>
      <w:r w:rsidRPr="009C05D4">
        <w:t xml:space="preserve">National priority </w:t>
      </w:r>
    </w:p>
    <w:tbl>
      <w:tblPr>
        <w:tblStyle w:val="TableGrid"/>
        <w:tblW w:w="9493" w:type="dxa"/>
        <w:tblLook w:val="04A0" w:firstRow="1" w:lastRow="0" w:firstColumn="1" w:lastColumn="0" w:noHBand="0" w:noVBand="1"/>
      </w:tblPr>
      <w:tblGrid>
        <w:gridCol w:w="3261"/>
        <w:gridCol w:w="6232"/>
      </w:tblGrid>
      <w:tr w:rsidR="003B0525" w:rsidRPr="006A24FE" w14:paraId="2992230F" w14:textId="77777777" w:rsidTr="00F70B4D">
        <w:tc>
          <w:tcPr>
            <w:tcW w:w="3261" w:type="dxa"/>
            <w:tcBorders>
              <w:top w:val="nil"/>
              <w:left w:val="nil"/>
              <w:bottom w:val="nil"/>
              <w:right w:val="nil"/>
            </w:tcBorders>
          </w:tcPr>
          <w:p w14:paraId="475A4E1B" w14:textId="77777777" w:rsidR="003B0525" w:rsidRDefault="003B0525" w:rsidP="005A3548">
            <w:pPr>
              <w:tabs>
                <w:tab w:val="left" w:pos="2547"/>
              </w:tabs>
            </w:pPr>
            <w:r>
              <w:rPr>
                <w:noProof/>
              </w:rPr>
              <w:drawing>
                <wp:anchor distT="0" distB="0" distL="114300" distR="114300" simplePos="0" relativeHeight="251693058" behindDoc="1" locked="0" layoutInCell="1" allowOverlap="1" wp14:anchorId="12E83090" wp14:editId="709BBE9B">
                  <wp:simplePos x="0" y="0"/>
                  <wp:positionH relativeFrom="column">
                    <wp:posOffset>7620</wp:posOffset>
                  </wp:positionH>
                  <wp:positionV relativeFrom="paragraph">
                    <wp:posOffset>0</wp:posOffset>
                  </wp:positionV>
                  <wp:extent cx="1638300" cy="1638300"/>
                  <wp:effectExtent l="0" t="0" r="0" b="0"/>
                  <wp:wrapTight wrapText="bothSides">
                    <wp:wrapPolygon edited="0">
                      <wp:start x="8037" y="251"/>
                      <wp:lineTo x="6530" y="1005"/>
                      <wp:lineTo x="2009" y="4270"/>
                      <wp:lineTo x="251" y="8540"/>
                      <wp:lineTo x="251" y="12809"/>
                      <wp:lineTo x="2009" y="16828"/>
                      <wp:lineTo x="2009" y="17581"/>
                      <wp:lineTo x="6781" y="20595"/>
                      <wp:lineTo x="8037" y="21098"/>
                      <wp:lineTo x="13312" y="21098"/>
                      <wp:lineTo x="14316" y="20595"/>
                      <wp:lineTo x="19088" y="17330"/>
                      <wp:lineTo x="20847" y="12809"/>
                      <wp:lineTo x="21098" y="8791"/>
                      <wp:lineTo x="19591" y="4270"/>
                      <wp:lineTo x="15572" y="1507"/>
                      <wp:lineTo x="13312" y="251"/>
                      <wp:lineTo x="8037" y="251"/>
                    </wp:wrapPolygon>
                  </wp:wrapTight>
                  <wp:docPr id="532061874" name="Graphic 1" descr="Enabling capabilit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61874" name="Graphic 1" descr="Enabling capabilities icon"/>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638300" cy="1638300"/>
                          </a:xfrm>
                          <a:prstGeom prst="rect">
                            <a:avLst/>
                          </a:prstGeom>
                        </pic:spPr>
                      </pic:pic>
                    </a:graphicData>
                  </a:graphic>
                  <wp14:sizeRelH relativeFrom="margin">
                    <wp14:pctWidth>0</wp14:pctWidth>
                  </wp14:sizeRelH>
                  <wp14:sizeRelV relativeFrom="margin">
                    <wp14:pctHeight>0</wp14:pctHeight>
                  </wp14:sizeRelV>
                </wp:anchor>
              </w:drawing>
            </w:r>
          </w:p>
        </w:tc>
        <w:tc>
          <w:tcPr>
            <w:tcW w:w="6232" w:type="dxa"/>
            <w:tcBorders>
              <w:top w:val="nil"/>
              <w:left w:val="nil"/>
              <w:bottom w:val="nil"/>
              <w:right w:val="nil"/>
            </w:tcBorders>
          </w:tcPr>
          <w:p w14:paraId="6E733B92" w14:textId="77777777" w:rsidR="003B0525" w:rsidRDefault="003B0525" w:rsidP="0029358E">
            <w:pPr>
              <w:spacing w:before="100" w:beforeAutospacing="1" w:after="0" w:afterAutospacing="1"/>
            </w:pPr>
            <w:r w:rsidRPr="004160AD">
              <w:t>Quantum technologies require considered and timely</w:t>
            </w:r>
            <w:r>
              <w:t xml:space="preserve"> </w:t>
            </w:r>
            <w:r w:rsidRPr="004160AD">
              <w:t>investment in research and commercialisation</w:t>
            </w:r>
            <w:r>
              <w:t xml:space="preserve"> </w:t>
            </w:r>
            <w:r w:rsidRPr="004160AD">
              <w:t>to seize the economic and strategic opportunities that they</w:t>
            </w:r>
            <w:r>
              <w:t xml:space="preserve"> </w:t>
            </w:r>
            <w:r w:rsidRPr="004160AD">
              <w:t>present. Quantum aligns with the</w:t>
            </w:r>
            <w:r>
              <w:t xml:space="preserve"> </w:t>
            </w:r>
            <w:r w:rsidRPr="004160AD">
              <w:t>national priority areas</w:t>
            </w:r>
            <w:r>
              <w:t xml:space="preserve"> </w:t>
            </w:r>
            <w:r w:rsidRPr="004160AD">
              <w:t>through support for transformative technologies that drive</w:t>
            </w:r>
            <w:r>
              <w:t xml:space="preserve"> </w:t>
            </w:r>
            <w:r w:rsidRPr="004160AD">
              <w:t>cross-sectoral productivity</w:t>
            </w:r>
            <w:r>
              <w:t>.</w:t>
            </w:r>
          </w:p>
          <w:p w14:paraId="55C1411B" w14:textId="77777777" w:rsidR="003B0525" w:rsidRPr="008A4DE5" w:rsidRDefault="00C97261" w:rsidP="003B0525">
            <w:pPr>
              <w:pStyle w:val="ListParagraph"/>
              <w:numPr>
                <w:ilvl w:val="0"/>
                <w:numId w:val="61"/>
              </w:numPr>
              <w:spacing w:after="160"/>
              <w:ind w:left="595" w:hanging="425"/>
            </w:pPr>
            <w:hyperlink r:id="rId90" w:history="1">
              <w:r w:rsidR="003B0525" w:rsidRPr="00EA65C3">
                <w:rPr>
                  <w:rStyle w:val="Hyperlink"/>
                  <w:color w:val="215E9F"/>
                </w:rPr>
                <w:t>National Quantum Strategy</w:t>
              </w:r>
            </w:hyperlink>
            <w:r w:rsidR="003B0525" w:rsidRPr="00EA65C3">
              <w:rPr>
                <w:color w:val="215E9F"/>
              </w:rPr>
              <w:t xml:space="preserve"> </w:t>
            </w:r>
          </w:p>
          <w:p w14:paraId="71EB8664" w14:textId="77777777" w:rsidR="003B0525" w:rsidRPr="008A4DE5" w:rsidRDefault="00C97261" w:rsidP="003B0525">
            <w:pPr>
              <w:pStyle w:val="ListParagraph"/>
              <w:numPr>
                <w:ilvl w:val="0"/>
                <w:numId w:val="61"/>
              </w:numPr>
              <w:spacing w:after="160"/>
              <w:ind w:left="595" w:hanging="425"/>
              <w:rPr>
                <w:rStyle w:val="Hyperlink"/>
                <w:color w:val="auto"/>
                <w:u w:val="none"/>
              </w:rPr>
            </w:pPr>
            <w:hyperlink r:id="rId91" w:history="1">
              <w:r w:rsidR="003B0525" w:rsidRPr="008A4DE5">
                <w:rPr>
                  <w:rStyle w:val="Hyperlink"/>
                  <w:color w:val="215E9F"/>
                </w:rPr>
                <w:t>List of Critical Technologies in the National Interest</w:t>
              </w:r>
            </w:hyperlink>
          </w:p>
          <w:p w14:paraId="738FA582" w14:textId="77777777" w:rsidR="003B0525" w:rsidRPr="008A4DE5" w:rsidRDefault="00C97261" w:rsidP="003B0525">
            <w:pPr>
              <w:pStyle w:val="ListParagraph"/>
              <w:numPr>
                <w:ilvl w:val="0"/>
                <w:numId w:val="61"/>
              </w:numPr>
              <w:spacing w:after="160"/>
              <w:ind w:left="595" w:hanging="425"/>
            </w:pPr>
            <w:hyperlink r:id="rId92" w:history="1">
              <w:r w:rsidR="003B0525" w:rsidRPr="008A4DE5">
                <w:rPr>
                  <w:rStyle w:val="Hyperlink"/>
                  <w:color w:val="215E9F"/>
                </w:rPr>
                <w:t>Future Made in Australia agenda</w:t>
              </w:r>
            </w:hyperlink>
          </w:p>
          <w:p w14:paraId="68CD5DBE" w14:textId="77777777" w:rsidR="003B0525" w:rsidRPr="00534E02" w:rsidRDefault="00C97261" w:rsidP="003B0525">
            <w:pPr>
              <w:pStyle w:val="ListParagraph"/>
              <w:numPr>
                <w:ilvl w:val="0"/>
                <w:numId w:val="61"/>
              </w:numPr>
              <w:spacing w:after="160"/>
              <w:ind w:left="595" w:hanging="425"/>
            </w:pPr>
            <w:hyperlink r:id="rId93" w:history="1">
              <w:r w:rsidR="003B0525" w:rsidRPr="008A4DE5">
                <w:rPr>
                  <w:rStyle w:val="Hyperlink"/>
                  <w:color w:val="215E9F"/>
                </w:rPr>
                <w:t>National Defence Strategy</w:t>
              </w:r>
            </w:hyperlink>
          </w:p>
        </w:tc>
      </w:tr>
    </w:tbl>
    <w:p w14:paraId="6657B28A" w14:textId="77777777" w:rsidR="003B0525" w:rsidRPr="00EA65C3" w:rsidRDefault="003B0525" w:rsidP="00534E02"/>
    <w:tbl>
      <w:tblPr>
        <w:tblStyle w:val="EDU-Basic"/>
        <w:tblW w:w="9351" w:type="dxa"/>
        <w:tblInd w:w="-147" w:type="dxa"/>
        <w:tblLook w:val="04A0" w:firstRow="1" w:lastRow="0" w:firstColumn="1" w:lastColumn="0" w:noHBand="0" w:noVBand="1"/>
      </w:tblPr>
      <w:tblGrid>
        <w:gridCol w:w="4673"/>
        <w:gridCol w:w="4678"/>
      </w:tblGrid>
      <w:tr w:rsidR="003B0525" w14:paraId="7843BC8B" w14:textId="77777777" w:rsidTr="000E304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010035"/>
            <w:vAlign w:val="top"/>
          </w:tcPr>
          <w:p w14:paraId="4D694BE6" w14:textId="77777777" w:rsidR="003B0525" w:rsidRPr="001A3B28" w:rsidRDefault="003B0525" w:rsidP="00070DCD">
            <w:pPr>
              <w:spacing w:after="100"/>
            </w:pPr>
            <w:r>
              <w:rPr>
                <w:rFonts w:cs="Inter ExtraBold"/>
                <w:b/>
                <w:bCs/>
                <w:sz w:val="23"/>
                <w:szCs w:val="23"/>
              </w:rPr>
              <w:t>Advantage</w:t>
            </w:r>
            <w:r w:rsidRPr="001A3B28">
              <w:rPr>
                <w:rFonts w:cs="Inter ExtraBold"/>
                <w:b/>
                <w:bCs/>
                <w:sz w:val="23"/>
                <w:szCs w:val="23"/>
              </w:rPr>
              <w:t xml:space="preserve"> </w:t>
            </w:r>
          </w:p>
        </w:tc>
        <w:tc>
          <w:tcPr>
            <w:tcW w:w="4678" w:type="dxa"/>
            <w:shd w:val="clear" w:color="auto" w:fill="010035"/>
            <w:vAlign w:val="top"/>
          </w:tcPr>
          <w:p w14:paraId="5B918261" w14:textId="77777777" w:rsidR="003B0525" w:rsidRPr="001A3B28" w:rsidRDefault="003B0525" w:rsidP="00070DCD">
            <w:pPr>
              <w:spacing w:after="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r>
      <w:tr w:rsidR="003B0525" w14:paraId="52EC41E5" w14:textId="77777777" w:rsidTr="000E3049">
        <w:trPr>
          <w:trHeight w:val="994"/>
        </w:trPr>
        <w:tc>
          <w:tcPr>
            <w:cnfStyle w:val="001000000000" w:firstRow="0" w:lastRow="0" w:firstColumn="1" w:lastColumn="0" w:oddVBand="0" w:evenVBand="0" w:oddHBand="0" w:evenHBand="0" w:firstRowFirstColumn="0" w:firstRowLastColumn="0" w:lastRowFirstColumn="0" w:lastRowLastColumn="0"/>
            <w:tcW w:w="4673" w:type="dxa"/>
            <w:vAlign w:val="top"/>
          </w:tcPr>
          <w:p w14:paraId="59A5239F" w14:textId="77777777" w:rsidR="003B0525" w:rsidRPr="004A7022" w:rsidRDefault="003B0525" w:rsidP="004A7022">
            <w:pPr>
              <w:spacing w:after="0"/>
              <w:rPr>
                <w:rFonts w:cs="Inter"/>
                <w:color w:val="000000"/>
              </w:rPr>
            </w:pPr>
            <w:r w:rsidRPr="004A7022">
              <w:rPr>
                <w:rFonts w:cs="Inter"/>
                <w:color w:val="000000"/>
              </w:rPr>
              <w:t>Australia hosts world-leading research and early</w:t>
            </w:r>
            <w:r>
              <w:rPr>
                <w:rFonts w:cs="Inter"/>
                <w:color w:val="000000"/>
              </w:rPr>
              <w:t xml:space="preserve">-stage </w:t>
            </w:r>
            <w:r w:rsidRPr="004A7022">
              <w:rPr>
                <w:rFonts w:cs="Inter"/>
                <w:color w:val="000000"/>
              </w:rPr>
              <w:t>commercialisation activity in quantum</w:t>
            </w:r>
            <w:r>
              <w:rPr>
                <w:rFonts w:cs="Inter"/>
                <w:color w:val="000000"/>
              </w:rPr>
              <w:t xml:space="preserve"> </w:t>
            </w:r>
            <w:r w:rsidRPr="004A7022">
              <w:rPr>
                <w:rFonts w:cs="Inter"/>
                <w:color w:val="000000"/>
              </w:rPr>
              <w:t>technologies and is endowed with key input</w:t>
            </w:r>
            <w:r>
              <w:rPr>
                <w:rFonts w:cs="Inter"/>
                <w:color w:val="000000"/>
              </w:rPr>
              <w:t xml:space="preserve"> </w:t>
            </w:r>
            <w:r w:rsidRPr="004A7022">
              <w:rPr>
                <w:rFonts w:cs="Inter"/>
                <w:color w:val="000000"/>
              </w:rPr>
              <w:t>materials for quantum components and goods.</w:t>
            </w:r>
          </w:p>
        </w:tc>
        <w:tc>
          <w:tcPr>
            <w:tcW w:w="4678" w:type="dxa"/>
          </w:tcPr>
          <w:p w14:paraId="2F545FCF" w14:textId="77777777" w:rsidR="003B0525" w:rsidRDefault="003B0525" w:rsidP="00433C60">
            <w:pPr>
              <w:spacing w:after="0"/>
              <w:cnfStyle w:val="000000000000" w:firstRow="0" w:lastRow="0" w:firstColumn="0" w:lastColumn="0" w:oddVBand="0" w:evenVBand="0" w:oddHBand="0" w:evenHBand="0" w:firstRowFirstColumn="0" w:firstRowLastColumn="0" w:lastRowFirstColumn="0" w:lastRowLastColumn="0"/>
            </w:pPr>
            <w:r w:rsidRPr="00F80982">
              <w:t>Capitalise on an early-mover advantage to capture a share of the emerging global quantum technologies market and realise productivity and enabling benefits across domestic industries.</w:t>
            </w:r>
          </w:p>
        </w:tc>
      </w:tr>
    </w:tbl>
    <w:p w14:paraId="4CA8C2C9" w14:textId="77777777" w:rsidR="003B0525" w:rsidRPr="009C05D4" w:rsidRDefault="003B0525" w:rsidP="009C05D4"/>
    <w:p w14:paraId="014575A3" w14:textId="77777777" w:rsidR="003B0525" w:rsidRDefault="003B0525" w:rsidP="0094344D">
      <w:pPr>
        <w:pStyle w:val="Heading2"/>
      </w:pPr>
      <w:r>
        <w:lastRenderedPageBreak/>
        <w:t xml:space="preserve">Research strength </w:t>
      </w:r>
    </w:p>
    <w:p w14:paraId="60BE8ECF" w14:textId="77777777" w:rsidR="003B0525" w:rsidRDefault="003B0525" w:rsidP="000C1149">
      <w:pPr>
        <w:spacing w:after="600"/>
      </w:pPr>
      <w:r>
        <w:rPr>
          <w:b/>
          <w:bCs/>
          <w:noProof/>
        </w:rPr>
        <w:drawing>
          <wp:anchor distT="0" distB="0" distL="114300" distR="114300" simplePos="0" relativeHeight="251689986" behindDoc="0" locked="0" layoutInCell="1" allowOverlap="1" wp14:anchorId="21EC264A" wp14:editId="475CFE8A">
            <wp:simplePos x="0" y="0"/>
            <wp:positionH relativeFrom="column">
              <wp:posOffset>22860</wp:posOffset>
            </wp:positionH>
            <wp:positionV relativeFrom="paragraph">
              <wp:posOffset>421005</wp:posOffset>
            </wp:positionV>
            <wp:extent cx="766445" cy="776605"/>
            <wp:effectExtent l="0" t="0" r="0" b="4445"/>
            <wp:wrapSquare wrapText="bothSides"/>
            <wp:docPr id="18724987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5809" name="Picture 2">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66445" cy="776605"/>
                    </a:xfrm>
                    <a:prstGeom prst="rect">
                      <a:avLst/>
                    </a:prstGeom>
                  </pic:spPr>
                </pic:pic>
              </a:graphicData>
            </a:graphic>
            <wp14:sizeRelH relativeFrom="margin">
              <wp14:pctWidth>0</wp14:pctWidth>
            </wp14:sizeRelH>
            <wp14:sizeRelV relativeFrom="margin">
              <wp14:pctHeight>0</wp14:pctHeight>
            </wp14:sizeRelV>
          </wp:anchor>
        </w:drawing>
      </w:r>
      <w:r>
        <w:t xml:space="preserve">Australia’s rank in the OECD calculated using 2018-2022 bibliometric data from Elsevier’s </w:t>
      </w:r>
      <w:proofErr w:type="spellStart"/>
      <w:r>
        <w:t>SciVal</w:t>
      </w:r>
      <w:proofErr w:type="spellEnd"/>
      <w:r>
        <w:t>. Quantum was defined using the Field of Research (</w:t>
      </w:r>
      <w:proofErr w:type="spellStart"/>
      <w:r>
        <w:t>FoR</w:t>
      </w:r>
      <w:proofErr w:type="spellEnd"/>
      <w:r>
        <w:t xml:space="preserve">) code 5108 – Quantum Physics. </w:t>
      </w:r>
    </w:p>
    <w:p w14:paraId="09797591" w14:textId="77777777" w:rsidR="003B0525" w:rsidRPr="00CC5CA1" w:rsidRDefault="003B0525" w:rsidP="00D67246">
      <w:pPr>
        <w:spacing w:after="960"/>
        <w:ind w:left="1701"/>
        <w:rPr>
          <w:highlight w:val="yellow"/>
        </w:rPr>
      </w:pPr>
      <w:r>
        <w:rPr>
          <w:b/>
          <w:bCs/>
          <w:noProof/>
        </w:rPr>
        <w:drawing>
          <wp:anchor distT="0" distB="0" distL="114300" distR="114300" simplePos="0" relativeHeight="251688962" behindDoc="1" locked="0" layoutInCell="1" allowOverlap="1" wp14:anchorId="506F04DE" wp14:editId="70CEC4B3">
            <wp:simplePos x="0" y="0"/>
            <wp:positionH relativeFrom="margin">
              <wp:align>left</wp:align>
            </wp:positionH>
            <wp:positionV relativeFrom="paragraph">
              <wp:posOffset>510540</wp:posOffset>
            </wp:positionV>
            <wp:extent cx="788670" cy="799465"/>
            <wp:effectExtent l="0" t="0" r="0" b="635"/>
            <wp:wrapThrough wrapText="bothSides">
              <wp:wrapPolygon edited="0">
                <wp:start x="6261" y="515"/>
                <wp:lineTo x="3130" y="3088"/>
                <wp:lineTo x="0" y="7720"/>
                <wp:lineTo x="0" y="12867"/>
                <wp:lineTo x="1565" y="18014"/>
                <wp:lineTo x="6261" y="20588"/>
                <wp:lineTo x="6783" y="21102"/>
                <wp:lineTo x="13565" y="21102"/>
                <wp:lineTo x="14087" y="20588"/>
                <wp:lineTo x="18261" y="18014"/>
                <wp:lineTo x="20870" y="11838"/>
                <wp:lineTo x="20870" y="8235"/>
                <wp:lineTo x="17217" y="3603"/>
                <wp:lineTo x="14087" y="515"/>
                <wp:lineTo x="6261" y="515"/>
              </wp:wrapPolygon>
            </wp:wrapThrough>
            <wp:docPr id="20326591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24326" name="Picture 1">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sidRPr="00B569FB">
        <w:rPr>
          <w:b/>
          <w:bCs/>
        </w:rPr>
        <w:t>1</w:t>
      </w:r>
      <w:r>
        <w:rPr>
          <w:b/>
          <w:bCs/>
        </w:rPr>
        <w:t>1</w:t>
      </w:r>
      <w:r w:rsidRPr="00B569FB">
        <w:rPr>
          <w:b/>
          <w:bCs/>
          <w:vertAlign w:val="superscript"/>
        </w:rPr>
        <w:t>th</w:t>
      </w:r>
      <w:r w:rsidRPr="00B569FB">
        <w:rPr>
          <w:b/>
          <w:bCs/>
        </w:rPr>
        <w:t xml:space="preserve"> </w:t>
      </w:r>
      <w:r>
        <w:rPr>
          <w:b/>
          <w:bCs/>
        </w:rPr>
        <w:t xml:space="preserve">– </w:t>
      </w:r>
      <w:r w:rsidRPr="00B569FB">
        <w:rPr>
          <w:b/>
          <w:bCs/>
        </w:rPr>
        <w:t>Output</w:t>
      </w:r>
      <w:r w:rsidRPr="00830166">
        <w:t>: number of scholarly papers</w:t>
      </w:r>
    </w:p>
    <w:p w14:paraId="139FFCDE" w14:textId="77777777" w:rsidR="003B0525" w:rsidRPr="00CC5CA1" w:rsidRDefault="003B0525" w:rsidP="00D67246">
      <w:pPr>
        <w:spacing w:after="960"/>
        <w:ind w:left="1701"/>
        <w:rPr>
          <w:highlight w:val="yellow"/>
        </w:rPr>
      </w:pPr>
      <w:r>
        <w:rPr>
          <w:b/>
          <w:bCs/>
          <w:noProof/>
        </w:rPr>
        <w:drawing>
          <wp:anchor distT="0" distB="0" distL="114300" distR="114300" simplePos="0" relativeHeight="251691010" behindDoc="0" locked="0" layoutInCell="1" allowOverlap="1" wp14:anchorId="6D6F8BB3" wp14:editId="176DF7F9">
            <wp:simplePos x="0" y="0"/>
            <wp:positionH relativeFrom="margin">
              <wp:align>left</wp:align>
            </wp:positionH>
            <wp:positionV relativeFrom="paragraph">
              <wp:posOffset>577850</wp:posOffset>
            </wp:positionV>
            <wp:extent cx="788670" cy="799465"/>
            <wp:effectExtent l="0" t="0" r="0" b="635"/>
            <wp:wrapSquare wrapText="bothSides"/>
            <wp:docPr id="138013726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09148" name="Picture 3">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Pr>
          <w:b/>
          <w:bCs/>
        </w:rPr>
        <w:t>6</w:t>
      </w:r>
      <w:r w:rsidRPr="00C609E0">
        <w:rPr>
          <w:b/>
          <w:bCs/>
          <w:vertAlign w:val="superscript"/>
        </w:rPr>
        <w:t>th</w:t>
      </w:r>
      <w:r w:rsidRPr="00B569FB">
        <w:rPr>
          <w:b/>
          <w:bCs/>
        </w:rPr>
        <w:t xml:space="preserve"> </w:t>
      </w:r>
      <w:r>
        <w:rPr>
          <w:b/>
          <w:bCs/>
        </w:rPr>
        <w:t xml:space="preserve">– </w:t>
      </w:r>
      <w:r w:rsidRPr="00B569FB">
        <w:rPr>
          <w:b/>
          <w:bCs/>
        </w:rPr>
        <w:t>Impact:</w:t>
      </w:r>
      <w:r w:rsidRPr="00884F60">
        <w:t xml:space="preserve"> field-weighted citation impact </w:t>
      </w:r>
    </w:p>
    <w:p w14:paraId="7BB4852B" w14:textId="77777777" w:rsidR="003B0525" w:rsidRDefault="003B0525" w:rsidP="00D67246">
      <w:pPr>
        <w:spacing w:after="1320"/>
        <w:ind w:left="1701"/>
        <w:rPr>
          <w:b/>
          <w:bCs/>
        </w:rPr>
      </w:pPr>
      <w:r w:rsidRPr="00B569FB">
        <w:rPr>
          <w:b/>
          <w:bCs/>
        </w:rPr>
        <w:t>1</w:t>
      </w:r>
      <w:r w:rsidRPr="00B569FB">
        <w:rPr>
          <w:b/>
          <w:bCs/>
          <w:vertAlign w:val="superscript"/>
        </w:rPr>
        <w:t>st</w:t>
      </w:r>
      <w:r w:rsidRPr="00B569FB">
        <w:rPr>
          <w:b/>
          <w:bCs/>
        </w:rPr>
        <w:t xml:space="preserve"> </w:t>
      </w:r>
      <w:r>
        <w:rPr>
          <w:b/>
          <w:bCs/>
        </w:rPr>
        <w:t xml:space="preserve">– </w:t>
      </w:r>
      <w:r w:rsidRPr="00B569FB">
        <w:rPr>
          <w:b/>
          <w:bCs/>
        </w:rPr>
        <w:t>Quality:</w:t>
      </w:r>
      <w:r w:rsidRPr="00884F60">
        <w:t xml:space="preserve"> </w:t>
      </w:r>
      <w:proofErr w:type="gramStart"/>
      <w:r w:rsidRPr="00884F60">
        <w:t>amount</w:t>
      </w:r>
      <w:proofErr w:type="gramEnd"/>
      <w:r w:rsidRPr="00884F60">
        <w:t xml:space="preserve"> of papers in 10% most cited journal</w:t>
      </w:r>
    </w:p>
    <w:p w14:paraId="5765CF7C" w14:textId="77777777" w:rsidR="003B0525" w:rsidRPr="00D86090" w:rsidRDefault="003B0525" w:rsidP="00D86090">
      <w:pPr>
        <w:pStyle w:val="Heading2"/>
      </w:pPr>
      <w:r>
        <w:rPr>
          <w:noProof/>
        </w:rPr>
        <w:drawing>
          <wp:anchor distT="0" distB="0" distL="114300" distR="114300" simplePos="0" relativeHeight="251687938" behindDoc="1" locked="0" layoutInCell="1" allowOverlap="1" wp14:anchorId="5A6651F5" wp14:editId="22631A2B">
            <wp:simplePos x="0" y="0"/>
            <wp:positionH relativeFrom="column">
              <wp:posOffset>-190500</wp:posOffset>
            </wp:positionH>
            <wp:positionV relativeFrom="paragraph">
              <wp:posOffset>503202</wp:posOffset>
            </wp:positionV>
            <wp:extent cx="1096645" cy="1098620"/>
            <wp:effectExtent l="0" t="0" r="8255" b="6350"/>
            <wp:wrapNone/>
            <wp:docPr id="5022303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03067" name="Picture 2">
                      <a:extLst>
                        <a:ext uri="{C183D7F6-B498-43B3-948B-1728B52AA6E4}">
                          <adec:decorative xmlns:adec="http://schemas.microsoft.com/office/drawing/2017/decorative" val="1"/>
                        </a:ext>
                      </a:extLst>
                    </pic:cNvPr>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096645" cy="1098620"/>
                    </a:xfrm>
                    <a:prstGeom prst="rect">
                      <a:avLst/>
                    </a:prstGeom>
                  </pic:spPr>
                </pic:pic>
              </a:graphicData>
            </a:graphic>
          </wp:anchor>
        </w:drawing>
      </w:r>
      <w:r w:rsidRPr="00D86090">
        <w:t xml:space="preserve">IP potential </w:t>
      </w:r>
    </w:p>
    <w:p w14:paraId="77D5B477" w14:textId="77777777" w:rsidR="003B0525" w:rsidRPr="00B569FB" w:rsidRDefault="003B0525" w:rsidP="00D67246">
      <w:pPr>
        <w:ind w:left="1701"/>
        <w:rPr>
          <w:b/>
          <w:bCs/>
        </w:rPr>
      </w:pPr>
      <w:r>
        <w:rPr>
          <w:b/>
          <w:bCs/>
        </w:rPr>
        <w:t>127</w:t>
      </w:r>
      <w:r w:rsidRPr="00B569FB">
        <w:rPr>
          <w:b/>
          <w:bCs/>
        </w:rPr>
        <w:t>%</w:t>
      </w:r>
    </w:p>
    <w:p w14:paraId="5C793310" w14:textId="77777777" w:rsidR="003B0525" w:rsidRPr="00D86090" w:rsidRDefault="003B0525" w:rsidP="00D67246">
      <w:pPr>
        <w:ind w:left="1701"/>
      </w:pPr>
      <w:r w:rsidRPr="00D86090">
        <w:t xml:space="preserve">Australia’s share of publications cited in patent applications compared to the OECD average expressed as a percentage. </w:t>
      </w:r>
    </w:p>
    <w:p w14:paraId="30A8D424" w14:textId="77777777" w:rsidR="003B0525" w:rsidRPr="00D86090" w:rsidRDefault="003B0525" w:rsidP="00D67246">
      <w:pPr>
        <w:spacing w:after="1200"/>
        <w:ind w:left="1701"/>
      </w:pPr>
      <w:r w:rsidRPr="00D86090">
        <w:t xml:space="preserve">Refers to 2018-2022 patent and publication data in the Lens database. </w:t>
      </w:r>
    </w:p>
    <w:p w14:paraId="57DF2F0F" w14:textId="77777777" w:rsidR="003B0525" w:rsidRPr="00D86090" w:rsidRDefault="003B0525" w:rsidP="00D86090">
      <w:pPr>
        <w:pStyle w:val="Heading2"/>
      </w:pPr>
      <w:r w:rsidRPr="00D86090">
        <w:t xml:space="preserve">Market opportunity assessment </w:t>
      </w:r>
    </w:p>
    <w:p w14:paraId="281D4551" w14:textId="77777777" w:rsidR="003B0525" w:rsidRDefault="003B0525" w:rsidP="003B0525">
      <w:pPr>
        <w:pStyle w:val="ListParagraph"/>
        <w:numPr>
          <w:ilvl w:val="0"/>
          <w:numId w:val="63"/>
        </w:numPr>
        <w:spacing w:after="160"/>
      </w:pPr>
      <w:r w:rsidRPr="0088762E">
        <w:t>Australian market size of AU$0.2 billion in 2023</w:t>
      </w:r>
      <w:r>
        <w:rPr>
          <w:rStyle w:val="FootnoteReference"/>
        </w:rPr>
        <w:footnoteReference w:id="13"/>
      </w:r>
    </w:p>
    <w:p w14:paraId="05F8F95D" w14:textId="77777777" w:rsidR="003B0525" w:rsidRDefault="003B0525" w:rsidP="003B0525">
      <w:pPr>
        <w:pStyle w:val="ListParagraph"/>
        <w:numPr>
          <w:ilvl w:val="0"/>
          <w:numId w:val="63"/>
        </w:numPr>
        <w:spacing w:after="160"/>
      </w:pPr>
      <w:r w:rsidRPr="0088762E">
        <w:t>Projected compound annual market growth of 31.9% from 2023-2028</w:t>
      </w:r>
      <w:r>
        <w:rPr>
          <w:rStyle w:val="FootnoteReference"/>
        </w:rPr>
        <w:footnoteReference w:id="14"/>
      </w:r>
    </w:p>
    <w:p w14:paraId="3B831C75" w14:textId="77777777" w:rsidR="003B0525" w:rsidRDefault="003B0525" w:rsidP="003B0525">
      <w:pPr>
        <w:pStyle w:val="ListParagraph"/>
        <w:numPr>
          <w:ilvl w:val="0"/>
          <w:numId w:val="63"/>
        </w:numPr>
        <w:spacing w:after="160"/>
      </w:pPr>
      <w:r w:rsidRPr="0088762E">
        <w:t>Global market size of AU$1.5 billion in 2022</w:t>
      </w:r>
      <w:r>
        <w:rPr>
          <w:rStyle w:val="FootnoteReference"/>
        </w:rPr>
        <w:footnoteReference w:id="15"/>
      </w:r>
    </w:p>
    <w:p w14:paraId="2FE78CC5" w14:textId="77777777" w:rsidR="003B0525" w:rsidRPr="0088762E" w:rsidRDefault="003B0525" w:rsidP="003B0525">
      <w:pPr>
        <w:pStyle w:val="ListParagraph"/>
        <w:numPr>
          <w:ilvl w:val="0"/>
          <w:numId w:val="63"/>
        </w:numPr>
        <w:spacing w:after="160"/>
        <w:rPr>
          <w:b/>
        </w:rPr>
      </w:pPr>
      <w:r w:rsidRPr="0088762E">
        <w:t>Projected global compound annual market growth of 40% from 2022-2030</w:t>
      </w:r>
      <w:r>
        <w:rPr>
          <w:rStyle w:val="FootnoteReference"/>
        </w:rPr>
        <w:footnoteReference w:id="16"/>
      </w:r>
    </w:p>
    <w:p w14:paraId="5A2D2F0F" w14:textId="77777777" w:rsidR="003B0525" w:rsidRPr="00D86090" w:rsidRDefault="003B0525" w:rsidP="00D86090">
      <w:pPr>
        <w:pStyle w:val="Heading2"/>
      </w:pPr>
      <w:r w:rsidRPr="00D86090">
        <w:lastRenderedPageBreak/>
        <w:t xml:space="preserve">Example industry problems </w:t>
      </w:r>
    </w:p>
    <w:p w14:paraId="127341CC" w14:textId="77777777" w:rsidR="003B0525" w:rsidRDefault="003B0525" w:rsidP="004C7CFE">
      <w:r w:rsidRPr="00D86090">
        <w:t>AEA aims to provide developmental support for promising research commercialisation projects at the proof-of-concept or proof-of-scale level (TRL stages 3-7). Successful projects will scale up to meet emerging industry needs.</w:t>
      </w:r>
    </w:p>
    <w:tbl>
      <w:tblPr>
        <w:tblStyle w:val="EDU-Basic"/>
        <w:tblW w:w="0" w:type="auto"/>
        <w:tblLook w:val="04A0" w:firstRow="1" w:lastRow="0" w:firstColumn="1" w:lastColumn="0" w:noHBand="0" w:noVBand="1"/>
      </w:tblPr>
      <w:tblGrid>
        <w:gridCol w:w="3005"/>
        <w:gridCol w:w="3005"/>
        <w:gridCol w:w="3006"/>
      </w:tblGrid>
      <w:tr w:rsidR="003B0525" w14:paraId="13BEB017" w14:textId="77777777" w:rsidTr="00B2557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010035"/>
            <w:vAlign w:val="top"/>
          </w:tcPr>
          <w:p w14:paraId="6AAFDF70" w14:textId="77777777" w:rsidR="003B0525" w:rsidRPr="001A3B28" w:rsidRDefault="003B0525" w:rsidP="00DD0C70">
            <w:pPr>
              <w:spacing w:after="100"/>
            </w:pPr>
            <w:r w:rsidRPr="001A3B28">
              <w:rPr>
                <w:rFonts w:cs="Inter ExtraBold"/>
                <w:b/>
                <w:bCs/>
                <w:sz w:val="23"/>
                <w:szCs w:val="23"/>
              </w:rPr>
              <w:t xml:space="preserve">Industry problem </w:t>
            </w:r>
          </w:p>
        </w:tc>
        <w:tc>
          <w:tcPr>
            <w:tcW w:w="3005" w:type="dxa"/>
            <w:shd w:val="clear" w:color="auto" w:fill="010035"/>
            <w:vAlign w:val="top"/>
          </w:tcPr>
          <w:p w14:paraId="781BAB98" w14:textId="77777777" w:rsidR="003B0525" w:rsidRPr="001A3B28" w:rsidRDefault="003B0525"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c>
          <w:tcPr>
            <w:tcW w:w="3006" w:type="dxa"/>
            <w:shd w:val="clear" w:color="auto" w:fill="010035"/>
            <w:vAlign w:val="top"/>
          </w:tcPr>
          <w:p w14:paraId="5892D33D" w14:textId="77777777" w:rsidR="003B0525" w:rsidRPr="001A3B28" w:rsidRDefault="003B0525"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Impact </w:t>
            </w:r>
          </w:p>
        </w:tc>
      </w:tr>
      <w:tr w:rsidR="003B0525" w14:paraId="6858864F" w14:textId="77777777" w:rsidTr="00070DCD">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15762F89" w14:textId="77777777" w:rsidR="003B0525" w:rsidRDefault="003B0525" w:rsidP="00054793">
            <w:r w:rsidRPr="00027540">
              <w:t>Lack of effective solutions for precision navigation in GPS-denied environments (e.g., subterranean, sub-sea, or space).</w:t>
            </w:r>
          </w:p>
        </w:tc>
        <w:tc>
          <w:tcPr>
            <w:tcW w:w="3005" w:type="dxa"/>
            <w:vAlign w:val="top"/>
          </w:tcPr>
          <w:p w14:paraId="720A51B0" w14:textId="77777777" w:rsidR="003B0525" w:rsidRDefault="003B0525" w:rsidP="00054793">
            <w:pPr>
              <w:cnfStyle w:val="000000000000" w:firstRow="0" w:lastRow="0" w:firstColumn="0" w:lastColumn="0" w:oddVBand="0" w:evenVBand="0" w:oddHBand="0" w:evenHBand="0" w:firstRowFirstColumn="0" w:firstRowLastColumn="0" w:lastRowFirstColumn="0" w:lastRowLastColumn="0"/>
            </w:pPr>
            <w:r w:rsidRPr="006B79F9">
              <w:t>Developing GPS-free positioning devices using quantum principles and applying them to vehicle platforms and space.</w:t>
            </w:r>
          </w:p>
        </w:tc>
        <w:tc>
          <w:tcPr>
            <w:tcW w:w="3006" w:type="dxa"/>
            <w:vAlign w:val="top"/>
          </w:tcPr>
          <w:p w14:paraId="10ECD29D" w14:textId="77777777" w:rsidR="003B0525" w:rsidRDefault="003B0525" w:rsidP="00054793">
            <w:pPr>
              <w:cnfStyle w:val="000000000000" w:firstRow="0" w:lastRow="0" w:firstColumn="0" w:lastColumn="0" w:oddVBand="0" w:evenVBand="0" w:oddHBand="0" w:evenHBand="0" w:firstRowFirstColumn="0" w:firstRowLastColumn="0" w:lastRowFirstColumn="0" w:lastRowLastColumn="0"/>
            </w:pPr>
            <w:r w:rsidRPr="0023783D">
              <w:t>Accurate and robust positioning for spacecrafts and vehicles in mining, maritime, space and defence applications.</w:t>
            </w:r>
          </w:p>
        </w:tc>
      </w:tr>
      <w:tr w:rsidR="003B0525" w14:paraId="26DD6381" w14:textId="77777777" w:rsidTr="00070DCD">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27256429" w14:textId="77777777" w:rsidR="003B0525" w:rsidRDefault="003B0525" w:rsidP="00054793">
            <w:r w:rsidRPr="00027540">
              <w:t>Adapting to the risks for agriculture from increasing climate uncertainty and extreme weather events.</w:t>
            </w:r>
          </w:p>
        </w:tc>
        <w:tc>
          <w:tcPr>
            <w:tcW w:w="3005" w:type="dxa"/>
            <w:vAlign w:val="top"/>
          </w:tcPr>
          <w:p w14:paraId="60803C1B" w14:textId="77777777" w:rsidR="003B0525" w:rsidRDefault="003B0525" w:rsidP="00996FBC">
            <w:pPr>
              <w:cnfStyle w:val="000000000000" w:firstRow="0" w:lastRow="0" w:firstColumn="0" w:lastColumn="0" w:oddVBand="0" w:evenVBand="0" w:oddHBand="0" w:evenHBand="0" w:firstRowFirstColumn="0" w:firstRowLastColumn="0" w:lastRowFirstColumn="0" w:lastRowLastColumn="0"/>
            </w:pPr>
            <w:r w:rsidRPr="006B79F9">
              <w:t>Using quantum computing techniques to more accurately model and forecast complex systems like climate and weather.</w:t>
            </w:r>
          </w:p>
        </w:tc>
        <w:tc>
          <w:tcPr>
            <w:tcW w:w="3006" w:type="dxa"/>
            <w:vAlign w:val="top"/>
          </w:tcPr>
          <w:p w14:paraId="328EAF07" w14:textId="77777777" w:rsidR="003B0525" w:rsidRDefault="003B0525" w:rsidP="00054793">
            <w:pPr>
              <w:cnfStyle w:val="000000000000" w:firstRow="0" w:lastRow="0" w:firstColumn="0" w:lastColumn="0" w:oddVBand="0" w:evenVBand="0" w:oddHBand="0" w:evenHBand="0" w:firstRowFirstColumn="0" w:firstRowLastColumn="0" w:lastRowFirstColumn="0" w:lastRowLastColumn="0"/>
            </w:pPr>
            <w:r w:rsidRPr="006B79F9">
              <w:t>Greater resilience and efficiency for agricultural producers.</w:t>
            </w:r>
          </w:p>
        </w:tc>
      </w:tr>
      <w:tr w:rsidR="003B0525" w14:paraId="74C52DF5" w14:textId="77777777" w:rsidTr="001A7ACB">
        <w:trPr>
          <w:trHeight w:val="1269"/>
        </w:trPr>
        <w:tc>
          <w:tcPr>
            <w:cnfStyle w:val="001000000000" w:firstRow="0" w:lastRow="0" w:firstColumn="1" w:lastColumn="0" w:oddVBand="0" w:evenVBand="0" w:oddHBand="0" w:evenHBand="0" w:firstRowFirstColumn="0" w:firstRowLastColumn="0" w:lastRowFirstColumn="0" w:lastRowLastColumn="0"/>
            <w:tcW w:w="3005" w:type="dxa"/>
            <w:vAlign w:val="top"/>
          </w:tcPr>
          <w:p w14:paraId="163F1C0A" w14:textId="77777777" w:rsidR="003B0525" w:rsidRDefault="003B0525" w:rsidP="00054793">
            <w:r w:rsidRPr="00027540">
              <w:t>Conventional computing approaches struggle to accurately model complex molecular interactions.</w:t>
            </w:r>
          </w:p>
        </w:tc>
        <w:tc>
          <w:tcPr>
            <w:tcW w:w="3005" w:type="dxa"/>
            <w:vAlign w:val="top"/>
          </w:tcPr>
          <w:p w14:paraId="0E236CC0" w14:textId="77777777" w:rsidR="003B0525" w:rsidRDefault="003B0525" w:rsidP="00054793">
            <w:pPr>
              <w:cnfStyle w:val="000000000000" w:firstRow="0" w:lastRow="0" w:firstColumn="0" w:lastColumn="0" w:oddVBand="0" w:evenVBand="0" w:oddHBand="0" w:evenHBand="0" w:firstRowFirstColumn="0" w:firstRowLastColumn="0" w:lastRowFirstColumn="0" w:lastRowLastColumn="0"/>
            </w:pPr>
            <w:r w:rsidRPr="00027540">
              <w:t>Developing quantum software and hardware solutions for chemical and molecular modelling to apply to pharmaceutical, energy, and other industries.</w:t>
            </w:r>
          </w:p>
        </w:tc>
        <w:tc>
          <w:tcPr>
            <w:tcW w:w="3006" w:type="dxa"/>
            <w:vAlign w:val="top"/>
          </w:tcPr>
          <w:p w14:paraId="000FAF50" w14:textId="77777777" w:rsidR="003B0525" w:rsidRDefault="003B0525" w:rsidP="00054793">
            <w:pPr>
              <w:cnfStyle w:val="000000000000" w:firstRow="0" w:lastRow="0" w:firstColumn="0" w:lastColumn="0" w:oddVBand="0" w:evenVBand="0" w:oddHBand="0" w:evenHBand="0" w:firstRowFirstColumn="0" w:firstRowLastColumn="0" w:lastRowFirstColumn="0" w:lastRowLastColumn="0"/>
            </w:pPr>
            <w:r w:rsidRPr="006B79F9">
              <w:t>Widen the aperture on possibilities in chemical synthesis and drug design and increase the speed of research and development pipelines that rely on computationally intensive modelling.</w:t>
            </w:r>
          </w:p>
        </w:tc>
      </w:tr>
    </w:tbl>
    <w:p w14:paraId="4B80FC0D" w14:textId="77777777" w:rsidR="003B0525" w:rsidRDefault="003B0525" w:rsidP="001A3B28">
      <w:pPr>
        <w:pStyle w:val="ListNumber4"/>
        <w:numPr>
          <w:ilvl w:val="0"/>
          <w:numId w:val="0"/>
        </w:numPr>
      </w:pPr>
    </w:p>
    <w:p w14:paraId="2E526381" w14:textId="77777777" w:rsidR="003B0525" w:rsidRPr="00C2482C" w:rsidRDefault="003B0525" w:rsidP="00C2482C">
      <w:pPr>
        <w:pStyle w:val="Heading2"/>
      </w:pPr>
      <w:r w:rsidRPr="00C2482C">
        <w:t xml:space="preserve">Other public investment options </w:t>
      </w:r>
    </w:p>
    <w:p w14:paraId="29C00B1B" w14:textId="77777777" w:rsidR="003B0525" w:rsidRPr="00EA65C3" w:rsidRDefault="003B0525" w:rsidP="005C009E">
      <w:pPr>
        <w:pStyle w:val="ListBullet"/>
        <w:numPr>
          <w:ilvl w:val="0"/>
          <w:numId w:val="0"/>
        </w:numPr>
        <w:ind w:left="360" w:hanging="360"/>
        <w:rPr>
          <w:color w:val="215E9F"/>
        </w:rPr>
      </w:pPr>
      <w:r w:rsidRPr="002076AF">
        <w:t xml:space="preserve">• </w:t>
      </w:r>
      <w:hyperlink r:id="rId95" w:history="1">
        <w:r w:rsidRPr="00EA65C3">
          <w:rPr>
            <w:rStyle w:val="Hyperlink"/>
            <w:color w:val="215E9F"/>
          </w:rPr>
          <w:t>The National Reconstruction Fund</w:t>
        </w:r>
      </w:hyperlink>
    </w:p>
    <w:p w14:paraId="4776C9F9" w14:textId="77777777" w:rsidR="003B0525" w:rsidRPr="002076AF" w:rsidRDefault="003B0525" w:rsidP="005C009E">
      <w:pPr>
        <w:pStyle w:val="ListBullet"/>
        <w:numPr>
          <w:ilvl w:val="0"/>
          <w:numId w:val="0"/>
        </w:numPr>
        <w:ind w:left="360" w:hanging="360"/>
      </w:pPr>
      <w:r w:rsidRPr="002076AF">
        <w:t>•</w:t>
      </w:r>
      <w:r w:rsidRPr="002076AF">
        <w:rPr>
          <w:u w:val="single"/>
        </w:rPr>
        <w:t xml:space="preserve"> </w:t>
      </w:r>
      <w:hyperlink r:id="rId96" w:history="1">
        <w:r w:rsidRPr="00EA65C3">
          <w:rPr>
            <w:rStyle w:val="Hyperlink"/>
            <w:color w:val="215E9F"/>
          </w:rPr>
          <w:t>Industry Growth Program</w:t>
        </w:r>
      </w:hyperlink>
    </w:p>
    <w:p w14:paraId="332F3405" w14:textId="77777777" w:rsidR="003B0525" w:rsidRPr="002076AF" w:rsidRDefault="003B0525" w:rsidP="005C009E">
      <w:pPr>
        <w:pStyle w:val="ListBullet"/>
        <w:numPr>
          <w:ilvl w:val="0"/>
          <w:numId w:val="0"/>
        </w:numPr>
        <w:ind w:left="360" w:hanging="360"/>
      </w:pPr>
      <w:r w:rsidRPr="002076AF">
        <w:t xml:space="preserve">• </w:t>
      </w:r>
      <w:hyperlink r:id="rId97" w:history="1">
        <w:r w:rsidRPr="00EA65C3">
          <w:rPr>
            <w:rStyle w:val="Hyperlink"/>
            <w:color w:val="215E9F"/>
          </w:rPr>
          <w:t>Advanced Strategic Capabilities Accelerator (Department of Defence)</w:t>
        </w:r>
      </w:hyperlink>
      <w:r w:rsidRPr="00EA65C3">
        <w:rPr>
          <w:color w:val="215E9F"/>
        </w:rPr>
        <w:t xml:space="preserve"> </w:t>
      </w:r>
    </w:p>
    <w:p w14:paraId="47380EDD" w14:textId="77777777" w:rsidR="003B0525" w:rsidRDefault="003B0525" w:rsidP="005C009E">
      <w:pPr>
        <w:pStyle w:val="ListBullet"/>
        <w:numPr>
          <w:ilvl w:val="0"/>
          <w:numId w:val="0"/>
        </w:numPr>
        <w:ind w:left="360" w:hanging="360"/>
        <w:rPr>
          <w:rStyle w:val="Hyperlink"/>
          <w:color w:val="215E9F"/>
        </w:rPr>
        <w:sectPr w:rsidR="003B0525" w:rsidSect="00073516">
          <w:pgSz w:w="11906" w:h="16838"/>
          <w:pgMar w:top="22" w:right="1440" w:bottom="1440" w:left="1440" w:header="708" w:footer="567" w:gutter="0"/>
          <w:cols w:space="708"/>
          <w:docGrid w:linePitch="360"/>
        </w:sectPr>
      </w:pPr>
      <w:r w:rsidRPr="002076AF">
        <w:t xml:space="preserve">• </w:t>
      </w:r>
      <w:hyperlink r:id="rId98" w:history="1">
        <w:r w:rsidRPr="00EA65C3">
          <w:rPr>
            <w:rStyle w:val="Hyperlink"/>
            <w:color w:val="215E9F"/>
          </w:rPr>
          <w:t>Critical Technologies Challenge Program</w:t>
        </w:r>
      </w:hyperlink>
    </w:p>
    <w:p w14:paraId="1DC23513" w14:textId="77777777" w:rsidR="003B0525" w:rsidRDefault="003B0525" w:rsidP="00064FD4">
      <w:pPr>
        <w:tabs>
          <w:tab w:val="left" w:pos="0"/>
        </w:tabs>
        <w:ind w:hanging="426"/>
      </w:pPr>
      <w:r>
        <w:rPr>
          <w:noProof/>
        </w:rPr>
        <w:lastRenderedPageBreak/>
        <w:drawing>
          <wp:anchor distT="0" distB="0" distL="114300" distR="114300" simplePos="0" relativeHeight="251700226" behindDoc="0" locked="0" layoutInCell="1" allowOverlap="1" wp14:anchorId="706D2BE2" wp14:editId="509102A7">
            <wp:simplePos x="0" y="0"/>
            <wp:positionH relativeFrom="column">
              <wp:posOffset>4634865</wp:posOffset>
            </wp:positionH>
            <wp:positionV relativeFrom="paragraph">
              <wp:posOffset>283210</wp:posOffset>
            </wp:positionV>
            <wp:extent cx="1749425" cy="1772920"/>
            <wp:effectExtent l="0" t="0" r="0" b="0"/>
            <wp:wrapSquare wrapText="bothSides"/>
            <wp:docPr id="125834081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1034" name="Picture 4">
                      <a:extLst>
                        <a:ext uri="{C183D7F6-B498-43B3-948B-1728B52AA6E4}">
                          <adec:decorative xmlns:adec="http://schemas.microsoft.com/office/drawing/2017/decorative" val="1"/>
                        </a:ext>
                      </a:extLst>
                    </pic:cNvPr>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1749425" cy="1772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815">
        <w:rPr>
          <w:b/>
          <w:bCs/>
          <w:noProof/>
        </w:rPr>
        <w:drawing>
          <wp:anchor distT="0" distB="0" distL="114300" distR="114300" simplePos="0" relativeHeight="251695106" behindDoc="1" locked="1" layoutInCell="1" allowOverlap="1" wp14:anchorId="61278680" wp14:editId="445FB42B">
            <wp:simplePos x="0" y="0"/>
            <wp:positionH relativeFrom="page">
              <wp:align>left</wp:align>
            </wp:positionH>
            <wp:positionV relativeFrom="page">
              <wp:posOffset>25400</wp:posOffset>
            </wp:positionV>
            <wp:extent cx="7559675" cy="1565910"/>
            <wp:effectExtent l="0" t="0" r="3175" b="0"/>
            <wp:wrapNone/>
            <wp:docPr id="762734952" name="Picture 7627349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68F9D08" wp14:editId="1A6E6038">
            <wp:extent cx="1622002" cy="701675"/>
            <wp:effectExtent l="0" t="0" r="0" b="3175"/>
            <wp:docPr id="927535320"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12" cstate="print">
                      <a:extLst>
                        <a:ext uri="{28A0092B-C50C-407E-A947-70E740481C1C}">
                          <a14:useLocalDpi xmlns:a14="http://schemas.microsoft.com/office/drawing/2010/main" val="0"/>
                        </a:ext>
                      </a:extLst>
                    </a:blip>
                    <a:srcRect l="52996"/>
                    <a:stretch/>
                  </pic:blipFill>
                  <pic:spPr bwMode="auto">
                    <a:xfrm>
                      <a:off x="0" y="0"/>
                      <a:ext cx="1622753" cy="702000"/>
                    </a:xfrm>
                    <a:prstGeom prst="rect">
                      <a:avLst/>
                    </a:prstGeom>
                    <a:ln>
                      <a:noFill/>
                    </a:ln>
                    <a:extLst>
                      <a:ext uri="{53640926-AAD7-44D8-BBD7-CCE9431645EC}">
                        <a14:shadowObscured xmlns:a14="http://schemas.microsoft.com/office/drawing/2010/main"/>
                      </a:ext>
                    </a:extLst>
                  </pic:spPr>
                </pic:pic>
              </a:graphicData>
            </a:graphic>
          </wp:inline>
        </w:drawing>
      </w:r>
    </w:p>
    <w:p w14:paraId="3E7ADC37" w14:textId="77777777" w:rsidR="003B0525" w:rsidRDefault="003B0525" w:rsidP="003B0525">
      <w:pPr>
        <w:pStyle w:val="AppendixH1"/>
      </w:pPr>
      <w:r>
        <w:t>Artificial Intelligence</w:t>
      </w:r>
    </w:p>
    <w:p w14:paraId="0A5EFA4F" w14:textId="77777777" w:rsidR="003B0525" w:rsidRDefault="003B0525" w:rsidP="0058654B">
      <w:pPr>
        <w:rPr>
          <w:rStyle w:val="A1"/>
        </w:rPr>
      </w:pPr>
    </w:p>
    <w:p w14:paraId="78B55162" w14:textId="77777777" w:rsidR="003B0525" w:rsidRDefault="00C97261" w:rsidP="00060B11">
      <w:hyperlink r:id="rId100">
        <w:r w:rsidR="003B0525" w:rsidRPr="757A679F">
          <w:rPr>
            <w:rStyle w:val="Hyperlink"/>
            <w:rFonts w:cs="Inter"/>
            <w:color w:val="215E9F"/>
          </w:rPr>
          <w:t>Australia’s Economic Accelerator</w:t>
        </w:r>
      </w:hyperlink>
      <w:r w:rsidR="003B0525">
        <w:t xml:space="preserve"> (AEA) is a $1.6 billion Australian Government investment aimed at transforming Australia’s research translation and commercialisation landscape. AEA grants support the Australian Government identified priority areas for the economy (</w:t>
      </w:r>
      <w:hyperlink r:id="rId101">
        <w:r w:rsidR="003B0525" w:rsidRPr="757A679F">
          <w:rPr>
            <w:rStyle w:val="Hyperlink"/>
            <w:rFonts w:cs="Inter"/>
            <w:i/>
            <w:iCs/>
            <w:color w:val="215E9F"/>
          </w:rPr>
          <w:t>National Reconstruction Fund Corporation (Priority Areas) Declaration 2023</w:t>
        </w:r>
      </w:hyperlink>
      <w:r w:rsidR="003B0525">
        <w:t>). Within these priorities, the first round of grants will prioritise projects that align with one or more of 6 focus areas, including advanced manufacturing, artificial intelligence (AI), digital agriculture, quantum, sustainable fuels, and critical and strategic minerals processing.</w:t>
      </w:r>
    </w:p>
    <w:p w14:paraId="5F000EA4" w14:textId="77777777" w:rsidR="003B0525" w:rsidRDefault="003B0525" w:rsidP="00060B11">
      <w:r>
        <w:t>AI encompasses technologies that enable autonomous systems to solve problems and complete complex tasks such as prediction and object detection, with an initial focus on language processing, computer vision and support for robotics.</w:t>
      </w:r>
    </w:p>
    <w:p w14:paraId="203E951A" w14:textId="77777777" w:rsidR="003B0525" w:rsidRDefault="003B0525" w:rsidP="009C05D4">
      <w:pPr>
        <w:pStyle w:val="Heading2"/>
      </w:pPr>
      <w:r w:rsidRPr="009C05D4">
        <w:t xml:space="preserve">National priority </w:t>
      </w:r>
    </w:p>
    <w:tbl>
      <w:tblPr>
        <w:tblStyle w:val="TableGrid"/>
        <w:tblW w:w="9209" w:type="dxa"/>
        <w:tblLook w:val="04A0" w:firstRow="1" w:lastRow="0" w:firstColumn="1" w:lastColumn="0" w:noHBand="0" w:noVBand="1"/>
      </w:tblPr>
      <w:tblGrid>
        <w:gridCol w:w="3261"/>
        <w:gridCol w:w="5948"/>
      </w:tblGrid>
      <w:tr w:rsidR="003B0525" w14:paraId="61643122" w14:textId="77777777" w:rsidTr="000C2D45">
        <w:tc>
          <w:tcPr>
            <w:tcW w:w="3261" w:type="dxa"/>
            <w:tcBorders>
              <w:top w:val="nil"/>
              <w:left w:val="nil"/>
              <w:bottom w:val="nil"/>
              <w:right w:val="nil"/>
            </w:tcBorders>
          </w:tcPr>
          <w:p w14:paraId="1BEAD306" w14:textId="77777777" w:rsidR="003B0525" w:rsidRDefault="003B0525" w:rsidP="00EB17C0">
            <w:pPr>
              <w:tabs>
                <w:tab w:val="left" w:pos="2587"/>
              </w:tabs>
            </w:pPr>
            <w:r w:rsidRPr="00184F73">
              <w:rPr>
                <w:noProof/>
              </w:rPr>
              <w:drawing>
                <wp:anchor distT="0" distB="0" distL="114300" distR="114300" simplePos="0" relativeHeight="251701250" behindDoc="1" locked="0" layoutInCell="1" allowOverlap="1" wp14:anchorId="708FAD6B" wp14:editId="52FCC719">
                  <wp:simplePos x="0" y="0"/>
                  <wp:positionH relativeFrom="column">
                    <wp:posOffset>65111</wp:posOffset>
                  </wp:positionH>
                  <wp:positionV relativeFrom="paragraph">
                    <wp:posOffset>0</wp:posOffset>
                  </wp:positionV>
                  <wp:extent cx="1638000" cy="1638000"/>
                  <wp:effectExtent l="0" t="0" r="0" b="0"/>
                  <wp:wrapTight wrapText="bothSides">
                    <wp:wrapPolygon edited="0">
                      <wp:start x="8040" y="251"/>
                      <wp:lineTo x="6533" y="1005"/>
                      <wp:lineTo x="2010" y="4271"/>
                      <wp:lineTo x="251" y="8543"/>
                      <wp:lineTo x="251" y="12814"/>
                      <wp:lineTo x="2010" y="16834"/>
                      <wp:lineTo x="2010" y="17588"/>
                      <wp:lineTo x="6784" y="20603"/>
                      <wp:lineTo x="8040" y="21106"/>
                      <wp:lineTo x="13317" y="21106"/>
                      <wp:lineTo x="14322" y="20603"/>
                      <wp:lineTo x="19096" y="17337"/>
                      <wp:lineTo x="20855" y="12814"/>
                      <wp:lineTo x="21106" y="8794"/>
                      <wp:lineTo x="19598" y="4271"/>
                      <wp:lineTo x="15578" y="1508"/>
                      <wp:lineTo x="13317" y="251"/>
                      <wp:lineTo x="8040" y="251"/>
                    </wp:wrapPolygon>
                  </wp:wrapTight>
                  <wp:docPr id="563402411" name="Graphic 1" descr="Enabling capabilit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02411" name="Graphic 1" descr="Enabling capabilities icon"/>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638000" cy="1638000"/>
                          </a:xfrm>
                          <a:prstGeom prst="rect">
                            <a:avLst/>
                          </a:prstGeom>
                        </pic:spPr>
                      </pic:pic>
                    </a:graphicData>
                  </a:graphic>
                  <wp14:sizeRelH relativeFrom="margin">
                    <wp14:pctWidth>0</wp14:pctWidth>
                  </wp14:sizeRelH>
                  <wp14:sizeRelV relativeFrom="margin">
                    <wp14:pctHeight>0</wp14:pctHeight>
                  </wp14:sizeRelV>
                </wp:anchor>
              </w:drawing>
            </w:r>
          </w:p>
        </w:tc>
        <w:tc>
          <w:tcPr>
            <w:tcW w:w="5948" w:type="dxa"/>
            <w:tcBorders>
              <w:top w:val="nil"/>
              <w:left w:val="nil"/>
              <w:bottom w:val="nil"/>
              <w:right w:val="nil"/>
            </w:tcBorders>
          </w:tcPr>
          <w:p w14:paraId="1AAE5916" w14:textId="77777777" w:rsidR="003B0525" w:rsidRDefault="003B0525" w:rsidP="00E67F06">
            <w:r>
              <w:t>Fast-moving enabling technology area with considerable benefits to early-mover adoption and investment. AI aligns with the national priority areas by supporting commercialisation of transformative advanced technologies that drive cross-sectoral productivity and support national interests.</w:t>
            </w:r>
          </w:p>
          <w:p w14:paraId="2D9C548B" w14:textId="77777777" w:rsidR="003B0525" w:rsidRPr="00CE537A" w:rsidRDefault="00C97261" w:rsidP="003B0525">
            <w:pPr>
              <w:pStyle w:val="ListParagraph"/>
              <w:numPr>
                <w:ilvl w:val="0"/>
                <w:numId w:val="61"/>
              </w:numPr>
              <w:spacing w:after="160"/>
              <w:ind w:left="595" w:hanging="425"/>
              <w:rPr>
                <w:rFonts w:cs="Inter"/>
                <w:color w:val="215E9F"/>
                <w:u w:val="single"/>
              </w:rPr>
            </w:pPr>
            <w:hyperlink r:id="rId102" w:history="1">
              <w:r w:rsidR="003B0525" w:rsidRPr="00FA4049">
                <w:rPr>
                  <w:rStyle w:val="Hyperlink"/>
                  <w:rFonts w:cs="Inter"/>
                  <w:color w:val="215E9F"/>
                </w:rPr>
                <w:t>List of Critical Technologies in the National Interest</w:t>
              </w:r>
            </w:hyperlink>
            <w:r w:rsidR="003B0525" w:rsidRPr="00FA4049">
              <w:rPr>
                <w:rStyle w:val="Hyperlink"/>
                <w:rFonts w:cs="Inter"/>
                <w:color w:val="215E9F"/>
              </w:rPr>
              <w:t xml:space="preserve"> </w:t>
            </w:r>
          </w:p>
        </w:tc>
      </w:tr>
      <w:tr w:rsidR="003B0525" w14:paraId="54926409" w14:textId="77777777" w:rsidTr="000C2D45">
        <w:tc>
          <w:tcPr>
            <w:tcW w:w="3261" w:type="dxa"/>
            <w:tcBorders>
              <w:top w:val="nil"/>
              <w:left w:val="nil"/>
              <w:bottom w:val="nil"/>
              <w:right w:val="nil"/>
            </w:tcBorders>
          </w:tcPr>
          <w:p w14:paraId="5BBDE0FB" w14:textId="77777777" w:rsidR="003B0525" w:rsidRPr="00184F73" w:rsidRDefault="003B0525" w:rsidP="009019A9">
            <w:pPr>
              <w:rPr>
                <w:noProof/>
              </w:rPr>
            </w:pPr>
          </w:p>
        </w:tc>
        <w:tc>
          <w:tcPr>
            <w:tcW w:w="5948" w:type="dxa"/>
            <w:tcBorders>
              <w:top w:val="nil"/>
              <w:left w:val="nil"/>
              <w:bottom w:val="nil"/>
              <w:right w:val="nil"/>
            </w:tcBorders>
          </w:tcPr>
          <w:p w14:paraId="1E6CF226" w14:textId="77777777" w:rsidR="003B0525" w:rsidRDefault="003B0525" w:rsidP="00CE537A"/>
        </w:tc>
      </w:tr>
      <w:tr w:rsidR="003B0525" w14:paraId="14E3D02D" w14:textId="77777777" w:rsidTr="000C2D45">
        <w:tc>
          <w:tcPr>
            <w:tcW w:w="3261" w:type="dxa"/>
            <w:tcBorders>
              <w:top w:val="nil"/>
              <w:left w:val="nil"/>
              <w:bottom w:val="nil"/>
              <w:right w:val="nil"/>
            </w:tcBorders>
          </w:tcPr>
          <w:p w14:paraId="0F148B02" w14:textId="77777777" w:rsidR="003B0525" w:rsidRPr="00184F73" w:rsidRDefault="003B0525" w:rsidP="009019A9">
            <w:pPr>
              <w:rPr>
                <w:noProof/>
              </w:rPr>
            </w:pPr>
          </w:p>
        </w:tc>
        <w:tc>
          <w:tcPr>
            <w:tcW w:w="5948" w:type="dxa"/>
            <w:tcBorders>
              <w:top w:val="nil"/>
              <w:left w:val="nil"/>
              <w:bottom w:val="nil"/>
              <w:right w:val="nil"/>
            </w:tcBorders>
          </w:tcPr>
          <w:p w14:paraId="2225881F" w14:textId="77777777" w:rsidR="003B0525" w:rsidRDefault="003B0525" w:rsidP="00CE537A"/>
        </w:tc>
      </w:tr>
    </w:tbl>
    <w:tbl>
      <w:tblPr>
        <w:tblStyle w:val="EDU-Basic"/>
        <w:tblW w:w="9351" w:type="dxa"/>
        <w:tblInd w:w="-147" w:type="dxa"/>
        <w:tblLook w:val="04A0" w:firstRow="1" w:lastRow="0" w:firstColumn="1" w:lastColumn="0" w:noHBand="0" w:noVBand="1"/>
      </w:tblPr>
      <w:tblGrid>
        <w:gridCol w:w="4673"/>
        <w:gridCol w:w="4678"/>
      </w:tblGrid>
      <w:tr w:rsidR="003B0525" w14:paraId="0C633111" w14:textId="77777777" w:rsidTr="00913F03">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010035"/>
            <w:vAlign w:val="top"/>
          </w:tcPr>
          <w:p w14:paraId="02B609B2" w14:textId="77777777" w:rsidR="003B0525" w:rsidRPr="001A3B28" w:rsidRDefault="003B0525">
            <w:pPr>
              <w:spacing w:after="100"/>
            </w:pPr>
            <w:r>
              <w:rPr>
                <w:rFonts w:cs="Inter ExtraBold"/>
                <w:b/>
                <w:bCs/>
                <w:sz w:val="23"/>
                <w:szCs w:val="23"/>
              </w:rPr>
              <w:t>Advantage</w:t>
            </w:r>
            <w:r w:rsidRPr="001A3B28">
              <w:rPr>
                <w:rFonts w:cs="Inter ExtraBold"/>
                <w:b/>
                <w:bCs/>
                <w:sz w:val="23"/>
                <w:szCs w:val="23"/>
              </w:rPr>
              <w:t xml:space="preserve"> </w:t>
            </w:r>
          </w:p>
        </w:tc>
        <w:tc>
          <w:tcPr>
            <w:tcW w:w="4678" w:type="dxa"/>
            <w:shd w:val="clear" w:color="auto" w:fill="010035"/>
            <w:vAlign w:val="top"/>
          </w:tcPr>
          <w:p w14:paraId="1C9E9FBF" w14:textId="77777777" w:rsidR="003B0525" w:rsidRPr="001A3B28" w:rsidRDefault="003B0525">
            <w:pPr>
              <w:spacing w:after="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r>
      <w:tr w:rsidR="003B0525" w14:paraId="49FF06F4" w14:textId="77777777" w:rsidTr="00913F03">
        <w:trPr>
          <w:trHeight w:val="1006"/>
        </w:trPr>
        <w:tc>
          <w:tcPr>
            <w:cnfStyle w:val="001000000000" w:firstRow="0" w:lastRow="0" w:firstColumn="1" w:lastColumn="0" w:oddVBand="0" w:evenVBand="0" w:oddHBand="0" w:evenHBand="0" w:firstRowFirstColumn="0" w:firstRowLastColumn="0" w:lastRowFirstColumn="0" w:lastRowLastColumn="0"/>
            <w:tcW w:w="4673" w:type="dxa"/>
          </w:tcPr>
          <w:p w14:paraId="545E1904" w14:textId="77777777" w:rsidR="003B0525" w:rsidRPr="00C73A15" w:rsidRDefault="003B0525" w:rsidP="00CA4149">
            <w:pPr>
              <w:spacing w:after="0"/>
            </w:pPr>
            <w:r w:rsidRPr="00CA4149">
              <w:rPr>
                <w:rFonts w:cs="Inter"/>
                <w:color w:val="000000"/>
              </w:rPr>
              <w:t>Australia possesses strong AI research capability alongside diverse, secure, and unique sources of data with significant downstream industry demand for AI tools.</w:t>
            </w:r>
          </w:p>
        </w:tc>
        <w:tc>
          <w:tcPr>
            <w:tcW w:w="4678" w:type="dxa"/>
          </w:tcPr>
          <w:p w14:paraId="38F27F00" w14:textId="77777777" w:rsidR="003B0525" w:rsidRDefault="003B0525" w:rsidP="00AF0277">
            <w:pPr>
              <w:cnfStyle w:val="000000000000" w:firstRow="0" w:lastRow="0" w:firstColumn="0" w:lastColumn="0" w:oddVBand="0" w:evenVBand="0" w:oddHBand="0" w:evenHBand="0" w:firstRowFirstColumn="0" w:firstRowLastColumn="0" w:lastRowFirstColumn="0" w:lastRowLastColumn="0"/>
            </w:pPr>
            <w:r>
              <w:t>To apply existing research capability to uplift general productivity and produce application specific AI products that can support industries and scale up and out internationally.</w:t>
            </w:r>
          </w:p>
        </w:tc>
      </w:tr>
    </w:tbl>
    <w:p w14:paraId="57BAA451" w14:textId="77777777" w:rsidR="003B0525" w:rsidRPr="009C05D4" w:rsidRDefault="003B0525" w:rsidP="009C05D4"/>
    <w:p w14:paraId="2E3EA3EC" w14:textId="77777777" w:rsidR="003B0525" w:rsidRDefault="003B0525" w:rsidP="0094344D">
      <w:pPr>
        <w:pStyle w:val="Heading2"/>
      </w:pPr>
      <w:r>
        <w:lastRenderedPageBreak/>
        <w:t xml:space="preserve">Research strength </w:t>
      </w:r>
    </w:p>
    <w:p w14:paraId="34236F2D" w14:textId="77777777" w:rsidR="003B0525" w:rsidRDefault="003B0525" w:rsidP="000C1149">
      <w:pPr>
        <w:spacing w:after="600"/>
      </w:pPr>
      <w:r>
        <w:rPr>
          <w:b/>
          <w:bCs/>
          <w:noProof/>
        </w:rPr>
        <w:drawing>
          <wp:anchor distT="0" distB="0" distL="114300" distR="114300" simplePos="0" relativeHeight="251698178" behindDoc="0" locked="0" layoutInCell="1" allowOverlap="1" wp14:anchorId="466EF335" wp14:editId="12E5F17F">
            <wp:simplePos x="0" y="0"/>
            <wp:positionH relativeFrom="column">
              <wp:posOffset>22860</wp:posOffset>
            </wp:positionH>
            <wp:positionV relativeFrom="paragraph">
              <wp:posOffset>421005</wp:posOffset>
            </wp:positionV>
            <wp:extent cx="766445" cy="776605"/>
            <wp:effectExtent l="0" t="0" r="0" b="4445"/>
            <wp:wrapSquare wrapText="bothSides"/>
            <wp:docPr id="16216217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5809" name="Picture 2">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66445" cy="776605"/>
                    </a:xfrm>
                    <a:prstGeom prst="rect">
                      <a:avLst/>
                    </a:prstGeom>
                  </pic:spPr>
                </pic:pic>
              </a:graphicData>
            </a:graphic>
            <wp14:sizeRelH relativeFrom="margin">
              <wp14:pctWidth>0</wp14:pctWidth>
            </wp14:sizeRelH>
            <wp14:sizeRelV relativeFrom="margin">
              <wp14:pctHeight>0</wp14:pctHeight>
            </wp14:sizeRelV>
          </wp:anchor>
        </w:drawing>
      </w:r>
      <w:r>
        <w:t xml:space="preserve">Australia’s rank in the OECD calculated using 2018-2022 bibliometric data from Elsevier’s </w:t>
      </w:r>
      <w:proofErr w:type="spellStart"/>
      <w:r>
        <w:t>SciVal</w:t>
      </w:r>
      <w:proofErr w:type="spellEnd"/>
      <w:r>
        <w:t xml:space="preserve">. AI was defined using custom search terms. </w:t>
      </w:r>
    </w:p>
    <w:p w14:paraId="4E6CCE0A" w14:textId="77777777" w:rsidR="003B0525" w:rsidRPr="00CC5CA1" w:rsidRDefault="003B0525" w:rsidP="00D67246">
      <w:pPr>
        <w:spacing w:after="960"/>
        <w:ind w:left="1701"/>
        <w:rPr>
          <w:highlight w:val="yellow"/>
        </w:rPr>
      </w:pPr>
      <w:r>
        <w:rPr>
          <w:b/>
          <w:bCs/>
          <w:noProof/>
        </w:rPr>
        <w:drawing>
          <wp:anchor distT="0" distB="0" distL="114300" distR="114300" simplePos="0" relativeHeight="251697154" behindDoc="1" locked="0" layoutInCell="1" allowOverlap="1" wp14:anchorId="0A5B1EDF" wp14:editId="486CD9A2">
            <wp:simplePos x="0" y="0"/>
            <wp:positionH relativeFrom="margin">
              <wp:align>left</wp:align>
            </wp:positionH>
            <wp:positionV relativeFrom="paragraph">
              <wp:posOffset>510540</wp:posOffset>
            </wp:positionV>
            <wp:extent cx="788670" cy="799465"/>
            <wp:effectExtent l="0" t="0" r="0" b="635"/>
            <wp:wrapThrough wrapText="bothSides">
              <wp:wrapPolygon edited="0">
                <wp:start x="6261" y="515"/>
                <wp:lineTo x="3130" y="3088"/>
                <wp:lineTo x="0" y="7720"/>
                <wp:lineTo x="0" y="12867"/>
                <wp:lineTo x="1565" y="18014"/>
                <wp:lineTo x="6261" y="20588"/>
                <wp:lineTo x="6783" y="21102"/>
                <wp:lineTo x="13565" y="21102"/>
                <wp:lineTo x="14087" y="20588"/>
                <wp:lineTo x="18261" y="18014"/>
                <wp:lineTo x="20870" y="11838"/>
                <wp:lineTo x="20870" y="8235"/>
                <wp:lineTo x="17217" y="3603"/>
                <wp:lineTo x="14087" y="515"/>
                <wp:lineTo x="6261" y="515"/>
              </wp:wrapPolygon>
            </wp:wrapThrough>
            <wp:docPr id="7403938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24326" name="Picture 1">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Pr>
          <w:b/>
          <w:bCs/>
        </w:rPr>
        <w:t>7</w:t>
      </w:r>
      <w:r w:rsidRPr="00B569FB">
        <w:rPr>
          <w:b/>
          <w:bCs/>
          <w:vertAlign w:val="superscript"/>
        </w:rPr>
        <w:t>th</w:t>
      </w:r>
      <w:r w:rsidRPr="00B569FB">
        <w:rPr>
          <w:b/>
          <w:bCs/>
        </w:rPr>
        <w:t xml:space="preserve"> </w:t>
      </w:r>
      <w:r>
        <w:rPr>
          <w:b/>
          <w:bCs/>
        </w:rPr>
        <w:t xml:space="preserve">– </w:t>
      </w:r>
      <w:r w:rsidRPr="00B569FB">
        <w:rPr>
          <w:b/>
          <w:bCs/>
        </w:rPr>
        <w:t>Output</w:t>
      </w:r>
      <w:r w:rsidRPr="00830166">
        <w:t>: number of scholarly papers</w:t>
      </w:r>
    </w:p>
    <w:p w14:paraId="3F29346B" w14:textId="77777777" w:rsidR="003B0525" w:rsidRPr="00CC5CA1" w:rsidRDefault="003B0525" w:rsidP="00D67246">
      <w:pPr>
        <w:spacing w:after="960"/>
        <w:ind w:left="1701"/>
        <w:rPr>
          <w:highlight w:val="yellow"/>
        </w:rPr>
      </w:pPr>
      <w:r>
        <w:rPr>
          <w:b/>
          <w:bCs/>
          <w:noProof/>
        </w:rPr>
        <w:drawing>
          <wp:anchor distT="0" distB="0" distL="114300" distR="114300" simplePos="0" relativeHeight="251699202" behindDoc="0" locked="0" layoutInCell="1" allowOverlap="1" wp14:anchorId="1A3BF5A6" wp14:editId="70780BE2">
            <wp:simplePos x="0" y="0"/>
            <wp:positionH relativeFrom="margin">
              <wp:align>left</wp:align>
            </wp:positionH>
            <wp:positionV relativeFrom="paragraph">
              <wp:posOffset>577850</wp:posOffset>
            </wp:positionV>
            <wp:extent cx="788670" cy="799465"/>
            <wp:effectExtent l="0" t="0" r="0" b="635"/>
            <wp:wrapSquare wrapText="bothSides"/>
            <wp:docPr id="14526990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09148" name="Picture 3">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Pr>
          <w:b/>
          <w:bCs/>
        </w:rPr>
        <w:t>2</w:t>
      </w:r>
      <w:r>
        <w:rPr>
          <w:b/>
          <w:bCs/>
          <w:vertAlign w:val="superscript"/>
        </w:rPr>
        <w:t>nd</w:t>
      </w:r>
      <w:r w:rsidRPr="00B569FB">
        <w:rPr>
          <w:b/>
          <w:bCs/>
        </w:rPr>
        <w:t xml:space="preserve"> </w:t>
      </w:r>
      <w:r>
        <w:rPr>
          <w:b/>
          <w:bCs/>
        </w:rPr>
        <w:t xml:space="preserve">– </w:t>
      </w:r>
      <w:r w:rsidRPr="00B569FB">
        <w:rPr>
          <w:b/>
          <w:bCs/>
        </w:rPr>
        <w:t>Impact:</w:t>
      </w:r>
      <w:r w:rsidRPr="00884F60">
        <w:t xml:space="preserve"> field-weighted citation impact </w:t>
      </w:r>
    </w:p>
    <w:p w14:paraId="2ACCBE18" w14:textId="77777777" w:rsidR="003B0525" w:rsidRDefault="003B0525" w:rsidP="00D67246">
      <w:pPr>
        <w:spacing w:after="1320"/>
        <w:ind w:left="1701"/>
        <w:rPr>
          <w:b/>
          <w:bCs/>
        </w:rPr>
      </w:pPr>
      <w:r w:rsidRPr="00B569FB">
        <w:rPr>
          <w:b/>
          <w:bCs/>
        </w:rPr>
        <w:t>1</w:t>
      </w:r>
      <w:r w:rsidRPr="00B569FB">
        <w:rPr>
          <w:b/>
          <w:bCs/>
          <w:vertAlign w:val="superscript"/>
        </w:rPr>
        <w:t>st</w:t>
      </w:r>
      <w:r w:rsidRPr="00B569FB">
        <w:rPr>
          <w:b/>
          <w:bCs/>
        </w:rPr>
        <w:t xml:space="preserve"> </w:t>
      </w:r>
      <w:r>
        <w:rPr>
          <w:b/>
          <w:bCs/>
        </w:rPr>
        <w:t xml:space="preserve">– </w:t>
      </w:r>
      <w:r w:rsidRPr="00B569FB">
        <w:rPr>
          <w:b/>
          <w:bCs/>
        </w:rPr>
        <w:t>Quality:</w:t>
      </w:r>
      <w:r w:rsidRPr="00884F60">
        <w:t xml:space="preserve"> </w:t>
      </w:r>
      <w:proofErr w:type="gramStart"/>
      <w:r w:rsidRPr="00884F60">
        <w:t>amount</w:t>
      </w:r>
      <w:proofErr w:type="gramEnd"/>
      <w:r w:rsidRPr="00884F60">
        <w:t xml:space="preserve"> of papers in 10% most cited journal</w:t>
      </w:r>
    </w:p>
    <w:p w14:paraId="0BA574AA" w14:textId="77777777" w:rsidR="003B0525" w:rsidRPr="00D86090" w:rsidRDefault="003B0525" w:rsidP="00D86090">
      <w:pPr>
        <w:pStyle w:val="Heading2"/>
      </w:pPr>
      <w:r>
        <w:rPr>
          <w:noProof/>
        </w:rPr>
        <w:drawing>
          <wp:anchor distT="0" distB="0" distL="114300" distR="114300" simplePos="0" relativeHeight="251696130" behindDoc="1" locked="0" layoutInCell="1" allowOverlap="1" wp14:anchorId="33FC29CE" wp14:editId="6BDC8013">
            <wp:simplePos x="0" y="0"/>
            <wp:positionH relativeFrom="column">
              <wp:posOffset>-190500</wp:posOffset>
            </wp:positionH>
            <wp:positionV relativeFrom="paragraph">
              <wp:posOffset>503202</wp:posOffset>
            </wp:positionV>
            <wp:extent cx="1096645" cy="1098620"/>
            <wp:effectExtent l="0" t="0" r="8255" b="6350"/>
            <wp:wrapNone/>
            <wp:docPr id="19685423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03067" name="Picture 2">
                      <a:extLst>
                        <a:ext uri="{C183D7F6-B498-43B3-948B-1728B52AA6E4}">
                          <adec:decorative xmlns:adec="http://schemas.microsoft.com/office/drawing/2017/decorative" val="1"/>
                        </a:ext>
                      </a:extLst>
                    </pic:cNvPr>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096645" cy="1098620"/>
                    </a:xfrm>
                    <a:prstGeom prst="rect">
                      <a:avLst/>
                    </a:prstGeom>
                  </pic:spPr>
                </pic:pic>
              </a:graphicData>
            </a:graphic>
          </wp:anchor>
        </w:drawing>
      </w:r>
      <w:r w:rsidRPr="00D86090">
        <w:t xml:space="preserve">IP potential </w:t>
      </w:r>
    </w:p>
    <w:p w14:paraId="65795E58" w14:textId="77777777" w:rsidR="003B0525" w:rsidRPr="00B569FB" w:rsidRDefault="003B0525" w:rsidP="00D67246">
      <w:pPr>
        <w:ind w:left="1701"/>
        <w:rPr>
          <w:b/>
          <w:bCs/>
        </w:rPr>
      </w:pPr>
      <w:r w:rsidRPr="00B569FB">
        <w:rPr>
          <w:b/>
          <w:bCs/>
        </w:rPr>
        <w:t>9</w:t>
      </w:r>
      <w:r>
        <w:rPr>
          <w:b/>
          <w:bCs/>
        </w:rPr>
        <w:t>5</w:t>
      </w:r>
      <w:r w:rsidRPr="00B569FB">
        <w:rPr>
          <w:b/>
          <w:bCs/>
        </w:rPr>
        <w:t>%</w:t>
      </w:r>
    </w:p>
    <w:p w14:paraId="7C2545D5" w14:textId="77777777" w:rsidR="003B0525" w:rsidRPr="00D86090" w:rsidRDefault="003B0525" w:rsidP="00D67246">
      <w:pPr>
        <w:ind w:left="1701"/>
      </w:pPr>
      <w:r w:rsidRPr="00D86090">
        <w:t xml:space="preserve">Australia’s share of publications cited in patent applications compared to the OECD average expressed as a percentage. </w:t>
      </w:r>
    </w:p>
    <w:p w14:paraId="3CF503DA" w14:textId="77777777" w:rsidR="003B0525" w:rsidRPr="00D86090" w:rsidRDefault="003B0525" w:rsidP="00D67246">
      <w:pPr>
        <w:spacing w:after="1200"/>
        <w:ind w:left="1701"/>
      </w:pPr>
      <w:r w:rsidRPr="00D86090">
        <w:t xml:space="preserve">Refers to 2018-2022 patent and publication data in the Lens database. </w:t>
      </w:r>
    </w:p>
    <w:p w14:paraId="1EA18542" w14:textId="77777777" w:rsidR="003B0525" w:rsidRDefault="003B0525" w:rsidP="002E6295">
      <w:pPr>
        <w:pStyle w:val="Heading2"/>
      </w:pPr>
      <w:r w:rsidRPr="00D86090">
        <w:t>Market opportunity assessment</w:t>
      </w:r>
    </w:p>
    <w:p w14:paraId="3581FE42" w14:textId="77777777" w:rsidR="003B0525" w:rsidRPr="002E6295" w:rsidRDefault="003B0525" w:rsidP="003B0525">
      <w:pPr>
        <w:pStyle w:val="ListParagraph"/>
        <w:numPr>
          <w:ilvl w:val="0"/>
          <w:numId w:val="64"/>
        </w:numPr>
        <w:spacing w:after="160"/>
        <w:rPr>
          <w:rFonts w:asciiTheme="majorHAnsi" w:eastAsiaTheme="majorEastAsia" w:hAnsiTheme="majorHAnsi" w:cstheme="majorBidi"/>
          <w:b/>
          <w:color w:val="010035"/>
          <w:sz w:val="44"/>
          <w:szCs w:val="26"/>
        </w:rPr>
      </w:pPr>
      <w:r w:rsidRPr="002E6295">
        <w:t>Australian market size of AU$2.5 billion in 2024</w:t>
      </w:r>
      <w:r>
        <w:rPr>
          <w:rStyle w:val="FootnoteReference"/>
        </w:rPr>
        <w:footnoteReference w:id="17"/>
      </w:r>
    </w:p>
    <w:p w14:paraId="5703F62D" w14:textId="77777777" w:rsidR="003B0525" w:rsidRPr="002E6295" w:rsidRDefault="003B0525" w:rsidP="003B0525">
      <w:pPr>
        <w:pStyle w:val="ListParagraph"/>
        <w:numPr>
          <w:ilvl w:val="0"/>
          <w:numId w:val="64"/>
        </w:numPr>
        <w:spacing w:after="160"/>
        <w:rPr>
          <w:rFonts w:asciiTheme="majorHAnsi" w:eastAsiaTheme="majorEastAsia" w:hAnsiTheme="majorHAnsi" w:cstheme="majorBidi"/>
          <w:b/>
          <w:color w:val="010035"/>
          <w:sz w:val="44"/>
          <w:szCs w:val="26"/>
        </w:rPr>
      </w:pPr>
      <w:r w:rsidRPr="002E6295">
        <w:t>Predicted compound annual market growth of 13.4% from 2024-2029</w:t>
      </w:r>
      <w:r>
        <w:rPr>
          <w:rStyle w:val="FootnoteReference"/>
        </w:rPr>
        <w:footnoteReference w:id="18"/>
      </w:r>
    </w:p>
    <w:p w14:paraId="4E081222" w14:textId="77777777" w:rsidR="003B0525" w:rsidRPr="002E6295" w:rsidRDefault="003B0525" w:rsidP="003B0525">
      <w:pPr>
        <w:pStyle w:val="ListParagraph"/>
        <w:numPr>
          <w:ilvl w:val="0"/>
          <w:numId w:val="64"/>
        </w:numPr>
        <w:spacing w:after="160"/>
        <w:rPr>
          <w:rFonts w:asciiTheme="majorHAnsi" w:eastAsiaTheme="majorEastAsia" w:hAnsiTheme="majorHAnsi" w:cstheme="majorBidi"/>
          <w:b/>
          <w:color w:val="010035"/>
          <w:sz w:val="44"/>
          <w:szCs w:val="26"/>
        </w:rPr>
      </w:pPr>
      <w:r w:rsidRPr="002E6295">
        <w:t>Global market size of AU$118 billion in 2022</w:t>
      </w:r>
      <w:r>
        <w:rPr>
          <w:rStyle w:val="FootnoteReference"/>
        </w:rPr>
        <w:footnoteReference w:id="19"/>
      </w:r>
    </w:p>
    <w:p w14:paraId="26AC90DF" w14:textId="77777777" w:rsidR="003B0525" w:rsidRPr="0015167C" w:rsidRDefault="003B0525" w:rsidP="003B0525">
      <w:pPr>
        <w:pStyle w:val="ListParagraph"/>
        <w:numPr>
          <w:ilvl w:val="0"/>
          <w:numId w:val="64"/>
        </w:numPr>
        <w:spacing w:after="160"/>
        <w:rPr>
          <w:rFonts w:asciiTheme="majorHAnsi" w:eastAsiaTheme="majorEastAsia" w:hAnsiTheme="majorHAnsi" w:cstheme="majorBidi"/>
          <w:b/>
          <w:color w:val="010035"/>
          <w:sz w:val="44"/>
          <w:szCs w:val="26"/>
        </w:rPr>
      </w:pPr>
      <w:r w:rsidRPr="002E6295">
        <w:t>Predicted global compound annual market growth of 21.4% from 2022-2030</w:t>
      </w:r>
      <w:r>
        <w:rPr>
          <w:rStyle w:val="FootnoteReference"/>
        </w:rPr>
        <w:footnoteReference w:id="20"/>
      </w:r>
    </w:p>
    <w:p w14:paraId="453E91C7" w14:textId="77777777" w:rsidR="003B0525" w:rsidRPr="00D86090" w:rsidRDefault="003B0525" w:rsidP="002E6295">
      <w:pPr>
        <w:pStyle w:val="Heading2"/>
      </w:pPr>
      <w:r w:rsidRPr="00D86090">
        <w:lastRenderedPageBreak/>
        <w:t xml:space="preserve">Example industry problems </w:t>
      </w:r>
    </w:p>
    <w:p w14:paraId="0C6B662C" w14:textId="77777777" w:rsidR="003B0525" w:rsidRDefault="003B0525" w:rsidP="004C7CFE">
      <w:r w:rsidRPr="00D86090">
        <w:t>AEA aims to provide developmental support for promising research commercialisation projects at the proof-of-concept or proof-of-scale level (TRL stages 3-7). Successful projects will scale up to meet emerging industry needs.</w:t>
      </w:r>
    </w:p>
    <w:tbl>
      <w:tblPr>
        <w:tblStyle w:val="EDU-Basic"/>
        <w:tblW w:w="0" w:type="auto"/>
        <w:tblLook w:val="04A0" w:firstRow="1" w:lastRow="0" w:firstColumn="1" w:lastColumn="0" w:noHBand="0" w:noVBand="1"/>
      </w:tblPr>
      <w:tblGrid>
        <w:gridCol w:w="3005"/>
        <w:gridCol w:w="3005"/>
        <w:gridCol w:w="3006"/>
      </w:tblGrid>
      <w:tr w:rsidR="003B0525" w14:paraId="5B6723CF" w14:textId="77777777" w:rsidTr="00B2557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010035"/>
            <w:vAlign w:val="top"/>
          </w:tcPr>
          <w:p w14:paraId="0F3B6886" w14:textId="77777777" w:rsidR="003B0525" w:rsidRPr="001A3B28" w:rsidRDefault="003B0525" w:rsidP="00DD0C70">
            <w:pPr>
              <w:spacing w:after="100"/>
            </w:pPr>
            <w:r w:rsidRPr="001A3B28">
              <w:rPr>
                <w:rFonts w:cs="Inter ExtraBold"/>
                <w:b/>
                <w:bCs/>
                <w:sz w:val="23"/>
                <w:szCs w:val="23"/>
              </w:rPr>
              <w:t xml:space="preserve">Industry problem </w:t>
            </w:r>
          </w:p>
        </w:tc>
        <w:tc>
          <w:tcPr>
            <w:tcW w:w="3005" w:type="dxa"/>
            <w:shd w:val="clear" w:color="auto" w:fill="010035"/>
            <w:vAlign w:val="top"/>
          </w:tcPr>
          <w:p w14:paraId="75259B8B" w14:textId="77777777" w:rsidR="003B0525" w:rsidRPr="001A3B28" w:rsidRDefault="003B0525"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c>
          <w:tcPr>
            <w:tcW w:w="3006" w:type="dxa"/>
            <w:shd w:val="clear" w:color="auto" w:fill="010035"/>
            <w:vAlign w:val="top"/>
          </w:tcPr>
          <w:p w14:paraId="3ECD0C8C" w14:textId="77777777" w:rsidR="003B0525" w:rsidRPr="001A3B28" w:rsidRDefault="003B0525"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Impact </w:t>
            </w:r>
          </w:p>
        </w:tc>
      </w:tr>
      <w:tr w:rsidR="003B0525" w14:paraId="07FA625F" w14:textId="77777777">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1ED5AAF2" w14:textId="77777777" w:rsidR="003B0525" w:rsidRDefault="003B0525" w:rsidP="00CC458E">
            <w:r>
              <w:t>Expanding demand for sustainable critical mineral extraction requires new and precise mineral discovery methods.</w:t>
            </w:r>
          </w:p>
        </w:tc>
        <w:tc>
          <w:tcPr>
            <w:tcW w:w="3005" w:type="dxa"/>
            <w:vAlign w:val="top"/>
          </w:tcPr>
          <w:p w14:paraId="060BCB3A" w14:textId="77777777" w:rsidR="003B0525" w:rsidRDefault="003B0525" w:rsidP="00073C8A">
            <w:pPr>
              <w:cnfStyle w:val="000000000000" w:firstRow="0" w:lastRow="0" w:firstColumn="0" w:lastColumn="0" w:oddVBand="0" w:evenVBand="0" w:oddHBand="0" w:evenHBand="0" w:firstRowFirstColumn="0" w:firstRowLastColumn="0" w:lastRowFirstColumn="0" w:lastRowLastColumn="0"/>
            </w:pPr>
            <w:r>
              <w:t>Developing AI tools to accelerate discovery and location of mineral deposits using existing geoscientific and mining data</w:t>
            </w:r>
          </w:p>
        </w:tc>
        <w:tc>
          <w:tcPr>
            <w:tcW w:w="3006" w:type="dxa"/>
            <w:vAlign w:val="top"/>
          </w:tcPr>
          <w:p w14:paraId="0D802439" w14:textId="77777777" w:rsidR="003B0525" w:rsidRDefault="003B0525" w:rsidP="00C46F8C">
            <w:pPr>
              <w:cnfStyle w:val="000000000000" w:firstRow="0" w:lastRow="0" w:firstColumn="0" w:lastColumn="0" w:oddVBand="0" w:evenVBand="0" w:oddHBand="0" w:evenHBand="0" w:firstRowFirstColumn="0" w:firstRowLastColumn="0" w:lastRowFirstColumn="0" w:lastRowLastColumn="0"/>
            </w:pPr>
            <w:r>
              <w:t>Add value to pre-existing data resources and enable efficient expansion of critical mineral industries.</w:t>
            </w:r>
          </w:p>
        </w:tc>
      </w:tr>
      <w:tr w:rsidR="003B0525" w14:paraId="37D807C6" w14:textId="77777777">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2B9C8AD0" w14:textId="77777777" w:rsidR="003B0525" w:rsidRDefault="003B0525" w:rsidP="00C936EB">
            <w:r>
              <w:t>Land and asset management is costly and time-consuming, particularly in remote areas and for industries with geographically dispersed assets.</w:t>
            </w:r>
          </w:p>
        </w:tc>
        <w:tc>
          <w:tcPr>
            <w:tcW w:w="3005" w:type="dxa"/>
            <w:vAlign w:val="top"/>
          </w:tcPr>
          <w:p w14:paraId="2F861F29" w14:textId="77777777" w:rsidR="003B0525" w:rsidRDefault="003B0525" w:rsidP="00C936EB">
            <w:pPr>
              <w:cnfStyle w:val="000000000000" w:firstRow="0" w:lastRow="0" w:firstColumn="0" w:lastColumn="0" w:oddVBand="0" w:evenVBand="0" w:oddHBand="0" w:evenHBand="0" w:firstRowFirstColumn="0" w:firstRowLastColumn="0" w:lastRowFirstColumn="0" w:lastRowLastColumn="0"/>
            </w:pPr>
            <w:r>
              <w:t>Utilise computer vision and image classification techniques to enable satellite, drones or other platforms to conduct inspections and assess conditions or detect faults.</w:t>
            </w:r>
          </w:p>
        </w:tc>
        <w:tc>
          <w:tcPr>
            <w:tcW w:w="3006" w:type="dxa"/>
            <w:vAlign w:val="top"/>
          </w:tcPr>
          <w:p w14:paraId="47663A51" w14:textId="77777777" w:rsidR="003B0525" w:rsidRDefault="003B0525" w:rsidP="00C936EB">
            <w:pPr>
              <w:cnfStyle w:val="000000000000" w:firstRow="0" w:lastRow="0" w:firstColumn="0" w:lastColumn="0" w:oddVBand="0" w:evenVBand="0" w:oddHBand="0" w:evenHBand="0" w:firstRowFirstColumn="0" w:firstRowLastColumn="0" w:lastRowFirstColumn="0" w:lastRowLastColumn="0"/>
            </w:pPr>
            <w:r>
              <w:t>Expand capability to monitor vast areas and dispersed assets, with an added sovereign capability for conservation, disaster response, and defensive monitoring.</w:t>
            </w:r>
          </w:p>
        </w:tc>
      </w:tr>
      <w:tr w:rsidR="003B0525" w14:paraId="798BE02E" w14:textId="77777777">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75AF024E" w14:textId="77777777" w:rsidR="003B0525" w:rsidRDefault="003B0525" w:rsidP="002D4376">
            <w:r>
              <w:t xml:space="preserve">Demographic pressures and demands for new forms of care (e.g. mental health) require new modes of service delivery. </w:t>
            </w:r>
          </w:p>
        </w:tc>
        <w:tc>
          <w:tcPr>
            <w:tcW w:w="3005" w:type="dxa"/>
            <w:vAlign w:val="top"/>
          </w:tcPr>
          <w:p w14:paraId="55F86032" w14:textId="77777777" w:rsidR="003B0525" w:rsidRDefault="003B0525" w:rsidP="002D4376">
            <w:pPr>
              <w:cnfStyle w:val="000000000000" w:firstRow="0" w:lastRow="0" w:firstColumn="0" w:lastColumn="0" w:oddVBand="0" w:evenVBand="0" w:oddHBand="0" w:evenHBand="0" w:firstRowFirstColumn="0" w:firstRowLastColumn="0" w:lastRowFirstColumn="0" w:lastRowLastColumn="0"/>
            </w:pPr>
            <w:r>
              <w:t>Development of AI tools to improve the delivery of frontline services, enable remote care, and improve the efficiency of support services.</w:t>
            </w:r>
          </w:p>
        </w:tc>
        <w:tc>
          <w:tcPr>
            <w:tcW w:w="3006" w:type="dxa"/>
            <w:vAlign w:val="top"/>
          </w:tcPr>
          <w:p w14:paraId="348F53BA" w14:textId="77777777" w:rsidR="003B0525" w:rsidRDefault="003B0525" w:rsidP="003F6105">
            <w:pPr>
              <w:cnfStyle w:val="000000000000" w:firstRow="0" w:lastRow="0" w:firstColumn="0" w:lastColumn="0" w:oddVBand="0" w:evenVBand="0" w:oddHBand="0" w:evenHBand="0" w:firstRowFirstColumn="0" w:firstRowLastColumn="0" w:lastRowFirstColumn="0" w:lastRowLastColumn="0"/>
            </w:pPr>
            <w:r w:rsidRPr="003F6105">
              <w:t>Impacts could include a reduction</w:t>
            </w:r>
            <w:r>
              <w:t xml:space="preserve"> </w:t>
            </w:r>
            <w:r w:rsidRPr="003F6105">
              <w:t>in delivery costs and/or improved</w:t>
            </w:r>
            <w:r>
              <w:t xml:space="preserve"> </w:t>
            </w:r>
            <w:r w:rsidRPr="003F6105">
              <w:t>health outcomes delivered sooner.</w:t>
            </w:r>
          </w:p>
        </w:tc>
      </w:tr>
      <w:tr w:rsidR="003B0525" w14:paraId="16D4A735" w14:textId="77777777">
        <w:trPr>
          <w:trHeight w:val="397"/>
        </w:trPr>
        <w:tc>
          <w:tcPr>
            <w:cnfStyle w:val="001000000000" w:firstRow="0" w:lastRow="0" w:firstColumn="1" w:lastColumn="0" w:oddVBand="0" w:evenVBand="0" w:oddHBand="0" w:evenHBand="0" w:firstRowFirstColumn="0" w:firstRowLastColumn="0" w:lastRowFirstColumn="0" w:lastRowLastColumn="0"/>
            <w:tcW w:w="3005" w:type="dxa"/>
            <w:vAlign w:val="top"/>
          </w:tcPr>
          <w:p w14:paraId="06244E35" w14:textId="77777777" w:rsidR="003B0525" w:rsidRDefault="003B0525" w:rsidP="00FA03AB">
            <w:r>
              <w:t>Developments in AI both challenge and assist cybersecurity objectives across numerous areas including defence, financial services and telecommunications.</w:t>
            </w:r>
          </w:p>
        </w:tc>
        <w:tc>
          <w:tcPr>
            <w:tcW w:w="3005" w:type="dxa"/>
            <w:vAlign w:val="top"/>
          </w:tcPr>
          <w:p w14:paraId="39D906B8" w14:textId="77777777" w:rsidR="003B0525" w:rsidRDefault="003B0525" w:rsidP="00690207">
            <w:pPr>
              <w:cnfStyle w:val="000000000000" w:firstRow="0" w:lastRow="0" w:firstColumn="0" w:lastColumn="0" w:oddVBand="0" w:evenVBand="0" w:oddHBand="0" w:evenHBand="0" w:firstRowFirstColumn="0" w:firstRowLastColumn="0" w:lastRowFirstColumn="0" w:lastRowLastColumn="0"/>
            </w:pPr>
            <w:r>
              <w:t>Developing software and product solutions that can make use of or counteract AI to maintain cyber assets, as well as hardware with AI on-device or in the cloud to improve performance.</w:t>
            </w:r>
          </w:p>
        </w:tc>
        <w:tc>
          <w:tcPr>
            <w:tcW w:w="3006" w:type="dxa"/>
            <w:vAlign w:val="top"/>
          </w:tcPr>
          <w:p w14:paraId="55E394EA" w14:textId="77777777" w:rsidR="003B0525" w:rsidRDefault="003B0525" w:rsidP="00D9430D">
            <w:pPr>
              <w:cnfStyle w:val="000000000000" w:firstRow="0" w:lastRow="0" w:firstColumn="0" w:lastColumn="0" w:oddVBand="0" w:evenVBand="0" w:oddHBand="0" w:evenHBand="0" w:firstRowFirstColumn="0" w:firstRowLastColumn="0" w:lastRowFirstColumn="0" w:lastRowLastColumn="0"/>
            </w:pPr>
            <w:r>
              <w:t>Counteract existing and emerging risks of financial fraud, identity theft, social engineering and data breaches, and protect sovereign IP and data assets.</w:t>
            </w:r>
          </w:p>
        </w:tc>
      </w:tr>
    </w:tbl>
    <w:p w14:paraId="771F59B1" w14:textId="77777777" w:rsidR="003B0525" w:rsidRDefault="003B0525" w:rsidP="001A3B28">
      <w:pPr>
        <w:pStyle w:val="ListNumber4"/>
        <w:numPr>
          <w:ilvl w:val="0"/>
          <w:numId w:val="0"/>
        </w:numPr>
      </w:pPr>
    </w:p>
    <w:p w14:paraId="08C0D969" w14:textId="77777777" w:rsidR="003B0525" w:rsidRPr="00C2482C" w:rsidRDefault="003B0525" w:rsidP="00C2482C">
      <w:pPr>
        <w:pStyle w:val="Heading2"/>
      </w:pPr>
      <w:r w:rsidRPr="00C2482C">
        <w:t xml:space="preserve">Other public investment options </w:t>
      </w:r>
    </w:p>
    <w:p w14:paraId="6961393B" w14:textId="77777777" w:rsidR="003B0525" w:rsidRPr="00F97C5D" w:rsidRDefault="00C97261" w:rsidP="003B0525">
      <w:pPr>
        <w:pStyle w:val="ListParagraph"/>
        <w:numPr>
          <w:ilvl w:val="0"/>
          <w:numId w:val="64"/>
        </w:numPr>
        <w:spacing w:after="160"/>
        <w:rPr>
          <w:rStyle w:val="Hyperlink"/>
          <w:rFonts w:cs="Inter"/>
          <w:color w:val="215E9F"/>
        </w:rPr>
      </w:pPr>
      <w:hyperlink r:id="rId104" w:history="1">
        <w:r w:rsidR="003B0525" w:rsidRPr="00F97C5D">
          <w:rPr>
            <w:rStyle w:val="Hyperlink"/>
            <w:rFonts w:cs="Inter"/>
            <w:color w:val="215E9F"/>
          </w:rPr>
          <w:t>ARENA &amp; the Future Made in Australia Innovation Fund</w:t>
        </w:r>
      </w:hyperlink>
    </w:p>
    <w:p w14:paraId="51DD6D17" w14:textId="77777777" w:rsidR="003B0525" w:rsidRPr="00F97C5D" w:rsidRDefault="00C97261" w:rsidP="003B0525">
      <w:pPr>
        <w:pStyle w:val="ListParagraph"/>
        <w:numPr>
          <w:ilvl w:val="0"/>
          <w:numId w:val="64"/>
        </w:numPr>
        <w:spacing w:after="160"/>
        <w:rPr>
          <w:rStyle w:val="Hyperlink"/>
          <w:rFonts w:cs="Inter"/>
          <w:color w:val="215E9F"/>
        </w:rPr>
      </w:pPr>
      <w:hyperlink r:id="rId105" w:history="1">
        <w:r w:rsidR="003B0525" w:rsidRPr="00F97C5D">
          <w:rPr>
            <w:rStyle w:val="Hyperlink"/>
            <w:rFonts w:cs="Inter"/>
            <w:color w:val="215E9F"/>
          </w:rPr>
          <w:t>Industry Growth Program</w:t>
        </w:r>
      </w:hyperlink>
      <w:r w:rsidR="003B0525" w:rsidRPr="00F97C5D">
        <w:rPr>
          <w:rStyle w:val="Hyperlink"/>
          <w:rFonts w:cs="Inter"/>
          <w:color w:val="215E9F"/>
        </w:rPr>
        <w:t xml:space="preserve"> </w:t>
      </w:r>
    </w:p>
    <w:p w14:paraId="5A6C94D4" w14:textId="77777777" w:rsidR="003B0525" w:rsidRDefault="00C97261" w:rsidP="003B0525">
      <w:pPr>
        <w:pStyle w:val="ListParagraph"/>
        <w:numPr>
          <w:ilvl w:val="0"/>
          <w:numId w:val="64"/>
        </w:numPr>
        <w:spacing w:after="160"/>
        <w:rPr>
          <w:rStyle w:val="Hyperlink"/>
          <w:rFonts w:cs="Inter"/>
          <w:color w:val="215E9F"/>
        </w:rPr>
        <w:sectPr w:rsidR="003B0525" w:rsidSect="00073516">
          <w:pgSz w:w="11906" w:h="16838"/>
          <w:pgMar w:top="22" w:right="1440" w:bottom="1440" w:left="1440" w:header="708" w:footer="567" w:gutter="0"/>
          <w:cols w:space="708"/>
          <w:docGrid w:linePitch="360"/>
        </w:sectPr>
      </w:pPr>
      <w:hyperlink r:id="rId106" w:history="1">
        <w:r w:rsidR="003B0525" w:rsidRPr="00F97C5D">
          <w:rPr>
            <w:rStyle w:val="Hyperlink"/>
            <w:rFonts w:cs="Inter"/>
            <w:color w:val="215E9F"/>
          </w:rPr>
          <w:t>The National Reconstruction Fund</w:t>
        </w:r>
      </w:hyperlink>
    </w:p>
    <w:p w14:paraId="3A9E2B61" w14:textId="77777777" w:rsidR="003B0525" w:rsidRDefault="003B0525" w:rsidP="00064FD4">
      <w:pPr>
        <w:tabs>
          <w:tab w:val="left" w:pos="0"/>
        </w:tabs>
        <w:ind w:hanging="426"/>
      </w:pPr>
      <w:r>
        <w:rPr>
          <w:noProof/>
        </w:rPr>
        <w:lastRenderedPageBreak/>
        <w:drawing>
          <wp:anchor distT="0" distB="0" distL="114300" distR="114300" simplePos="0" relativeHeight="251708418" behindDoc="0" locked="0" layoutInCell="1" allowOverlap="1" wp14:anchorId="3EFF19C6" wp14:editId="1E9EC263">
            <wp:simplePos x="0" y="0"/>
            <wp:positionH relativeFrom="column">
              <wp:posOffset>4678045</wp:posOffset>
            </wp:positionH>
            <wp:positionV relativeFrom="paragraph">
              <wp:posOffset>276860</wp:posOffset>
            </wp:positionV>
            <wp:extent cx="1749425" cy="1773555"/>
            <wp:effectExtent l="0" t="0" r="0" b="0"/>
            <wp:wrapSquare wrapText="bothSides"/>
            <wp:docPr id="143334676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1034" name="Picture 4">
                      <a:extLst>
                        <a:ext uri="{C183D7F6-B498-43B3-948B-1728B52AA6E4}">
                          <adec:decorative xmlns:adec="http://schemas.microsoft.com/office/drawing/2017/decorative"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1749425" cy="177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815">
        <w:rPr>
          <w:b/>
          <w:bCs/>
          <w:noProof/>
        </w:rPr>
        <w:drawing>
          <wp:anchor distT="0" distB="0" distL="114300" distR="114300" simplePos="0" relativeHeight="251703298" behindDoc="1" locked="1" layoutInCell="1" allowOverlap="1" wp14:anchorId="3B11D523" wp14:editId="362A749C">
            <wp:simplePos x="0" y="0"/>
            <wp:positionH relativeFrom="page">
              <wp:align>left</wp:align>
            </wp:positionH>
            <wp:positionV relativeFrom="page">
              <wp:posOffset>25400</wp:posOffset>
            </wp:positionV>
            <wp:extent cx="7559675" cy="1565910"/>
            <wp:effectExtent l="0" t="0" r="3175" b="0"/>
            <wp:wrapNone/>
            <wp:docPr id="228478787" name="Picture 2284787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5C856CC" wp14:editId="682BB97E">
            <wp:extent cx="1622002" cy="701675"/>
            <wp:effectExtent l="0" t="0" r="0" b="3175"/>
            <wp:docPr id="290669771"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12" cstate="print">
                      <a:extLst>
                        <a:ext uri="{28A0092B-C50C-407E-A947-70E740481C1C}">
                          <a14:useLocalDpi xmlns:a14="http://schemas.microsoft.com/office/drawing/2010/main" val="0"/>
                        </a:ext>
                      </a:extLst>
                    </a:blip>
                    <a:srcRect l="52996"/>
                    <a:stretch/>
                  </pic:blipFill>
                  <pic:spPr bwMode="auto">
                    <a:xfrm>
                      <a:off x="0" y="0"/>
                      <a:ext cx="1622753" cy="702000"/>
                    </a:xfrm>
                    <a:prstGeom prst="rect">
                      <a:avLst/>
                    </a:prstGeom>
                    <a:ln>
                      <a:noFill/>
                    </a:ln>
                    <a:extLst>
                      <a:ext uri="{53640926-AAD7-44D8-BBD7-CCE9431645EC}">
                        <a14:shadowObscured xmlns:a14="http://schemas.microsoft.com/office/drawing/2010/main"/>
                      </a:ext>
                    </a:extLst>
                  </pic:spPr>
                </pic:pic>
              </a:graphicData>
            </a:graphic>
          </wp:inline>
        </w:drawing>
      </w:r>
    </w:p>
    <w:p w14:paraId="60F2F57D" w14:textId="77777777" w:rsidR="003B0525" w:rsidRDefault="003B0525" w:rsidP="003B0525">
      <w:pPr>
        <w:pStyle w:val="AppendixH1"/>
      </w:pPr>
      <w:r>
        <w:t>Advanced Manufacturing</w:t>
      </w:r>
    </w:p>
    <w:p w14:paraId="63C0A0AA" w14:textId="77777777" w:rsidR="003B0525" w:rsidRDefault="003B0525" w:rsidP="0058654B">
      <w:pPr>
        <w:rPr>
          <w:rStyle w:val="A1"/>
        </w:rPr>
      </w:pPr>
    </w:p>
    <w:p w14:paraId="6FE074F1" w14:textId="77777777" w:rsidR="003B0525" w:rsidRDefault="00C97261" w:rsidP="399EC8E4">
      <w:pPr>
        <w:autoSpaceDE w:val="0"/>
        <w:autoSpaceDN w:val="0"/>
        <w:adjustRightInd w:val="0"/>
        <w:spacing w:after="0" w:line="240" w:lineRule="auto"/>
        <w:rPr>
          <w:color w:val="0F1133"/>
        </w:rPr>
      </w:pPr>
      <w:hyperlink r:id="rId108">
        <w:r w:rsidR="003B0525" w:rsidRPr="399EC8E4">
          <w:rPr>
            <w:rStyle w:val="Hyperlink"/>
          </w:rPr>
          <w:t>Australia’s Economic Accelerator</w:t>
        </w:r>
      </w:hyperlink>
      <w:r w:rsidR="003B0525" w:rsidRPr="399EC8E4">
        <w:rPr>
          <w:color w:val="215E9F"/>
        </w:rPr>
        <w:t xml:space="preserve"> </w:t>
      </w:r>
      <w:r w:rsidR="003B0525" w:rsidRPr="399EC8E4">
        <w:rPr>
          <w:color w:val="0F1133"/>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109">
        <w:r w:rsidR="003B0525" w:rsidRPr="399EC8E4">
          <w:rPr>
            <w:rStyle w:val="Hyperlink"/>
            <w:i/>
            <w:iCs/>
          </w:rPr>
          <w:t>National Reconstruction</w:t>
        </w:r>
        <w:r w:rsidR="003B0525" w:rsidRPr="399EC8E4">
          <w:rPr>
            <w:rStyle w:val="Hyperlink"/>
          </w:rPr>
          <w:t xml:space="preserve"> </w:t>
        </w:r>
        <w:r w:rsidR="003B0525" w:rsidRPr="399EC8E4">
          <w:rPr>
            <w:rStyle w:val="Hyperlink"/>
            <w:i/>
            <w:iCs/>
          </w:rPr>
          <w:t>Fund Corporation (Priority Areas) Declaration 2023</w:t>
        </w:r>
      </w:hyperlink>
      <w:r w:rsidR="003B0525" w:rsidRPr="399EC8E4">
        <w:rPr>
          <w:color w:val="0F1133"/>
        </w:rPr>
        <w:t xml:space="preserve">). Within these priorities, the first round of grants will prioritise projects that align with one or more of 6 focus areas, including advanced manufacturing, artificial intelligence, digital agriculture, quantum, sustainable fuels, and critical and strategic minerals processing. </w:t>
      </w:r>
    </w:p>
    <w:p w14:paraId="10F343EE" w14:textId="77777777" w:rsidR="003B0525" w:rsidRDefault="003B0525" w:rsidP="00675534">
      <w:pPr>
        <w:autoSpaceDE w:val="0"/>
        <w:autoSpaceDN w:val="0"/>
        <w:adjustRightInd w:val="0"/>
        <w:spacing w:after="0" w:line="240" w:lineRule="auto"/>
        <w:rPr>
          <w:rFonts w:cstheme="minorHAnsi"/>
          <w:color w:val="0F1133"/>
        </w:rPr>
      </w:pPr>
    </w:p>
    <w:p w14:paraId="5F81B708" w14:textId="77777777" w:rsidR="003B0525" w:rsidRPr="00675534" w:rsidRDefault="003B0525" w:rsidP="00675534">
      <w:pPr>
        <w:autoSpaceDE w:val="0"/>
        <w:autoSpaceDN w:val="0"/>
        <w:adjustRightInd w:val="0"/>
        <w:spacing w:after="0" w:line="240" w:lineRule="auto"/>
        <w:rPr>
          <w:rFonts w:cstheme="minorHAnsi"/>
          <w:color w:val="0F1133"/>
        </w:rPr>
      </w:pPr>
      <w:r w:rsidRPr="00675534">
        <w:rPr>
          <w:rFonts w:cstheme="minorHAnsi"/>
          <w:color w:val="0F1133"/>
        </w:rPr>
        <w:t>Advanced manufacturing refers to technologies that expand Australia’s capability to manufacture complex products. It includes novel materials such as advanced composites as well as equipment and processes, novel additive manufacturing processes, capabilities to produce critical goods like semiconductors and integrated circuits, and materials that use critical and strategic minerals.</w:t>
      </w:r>
    </w:p>
    <w:p w14:paraId="0E57A93E" w14:textId="77777777" w:rsidR="003B0525" w:rsidRDefault="003B0525" w:rsidP="00675534">
      <w:pPr>
        <w:pStyle w:val="Heading2"/>
      </w:pPr>
      <w:r w:rsidRPr="009C05D4">
        <w:t>National priority</w:t>
      </w:r>
    </w:p>
    <w:tbl>
      <w:tblPr>
        <w:tblStyle w:val="TableGrid"/>
        <w:tblW w:w="9209" w:type="dxa"/>
        <w:tblLook w:val="04A0" w:firstRow="1" w:lastRow="0" w:firstColumn="1" w:lastColumn="0" w:noHBand="0" w:noVBand="1"/>
      </w:tblPr>
      <w:tblGrid>
        <w:gridCol w:w="3119"/>
        <w:gridCol w:w="6090"/>
      </w:tblGrid>
      <w:tr w:rsidR="003B0525" w14:paraId="10E131B4" w14:textId="77777777" w:rsidTr="00B30413">
        <w:tc>
          <w:tcPr>
            <w:tcW w:w="3119" w:type="dxa"/>
            <w:tcBorders>
              <w:top w:val="nil"/>
              <w:left w:val="nil"/>
              <w:bottom w:val="nil"/>
              <w:right w:val="nil"/>
            </w:tcBorders>
          </w:tcPr>
          <w:p w14:paraId="54046240" w14:textId="77777777" w:rsidR="003B0525" w:rsidRDefault="003B0525" w:rsidP="00B30413">
            <w:pPr>
              <w:tabs>
                <w:tab w:val="left" w:pos="2558"/>
              </w:tabs>
            </w:pPr>
            <w:r w:rsidRPr="00184F73">
              <w:rPr>
                <w:noProof/>
              </w:rPr>
              <w:drawing>
                <wp:anchor distT="0" distB="0" distL="114300" distR="114300" simplePos="0" relativeHeight="251709442" behindDoc="1" locked="0" layoutInCell="1" allowOverlap="1" wp14:anchorId="1255DDFE" wp14:editId="03322747">
                  <wp:simplePos x="0" y="0"/>
                  <wp:positionH relativeFrom="column">
                    <wp:posOffset>-40005</wp:posOffset>
                  </wp:positionH>
                  <wp:positionV relativeFrom="paragraph">
                    <wp:posOffset>0</wp:posOffset>
                  </wp:positionV>
                  <wp:extent cx="1638000" cy="1638000"/>
                  <wp:effectExtent l="0" t="0" r="0" b="0"/>
                  <wp:wrapTight wrapText="bothSides">
                    <wp:wrapPolygon edited="0">
                      <wp:start x="8040" y="251"/>
                      <wp:lineTo x="6533" y="1005"/>
                      <wp:lineTo x="2010" y="4271"/>
                      <wp:lineTo x="251" y="8543"/>
                      <wp:lineTo x="251" y="12814"/>
                      <wp:lineTo x="2010" y="16834"/>
                      <wp:lineTo x="2010" y="17588"/>
                      <wp:lineTo x="6784" y="20603"/>
                      <wp:lineTo x="8040" y="21106"/>
                      <wp:lineTo x="13317" y="21106"/>
                      <wp:lineTo x="14322" y="20603"/>
                      <wp:lineTo x="19096" y="17337"/>
                      <wp:lineTo x="20855" y="12814"/>
                      <wp:lineTo x="21106" y="8794"/>
                      <wp:lineTo x="19598" y="4271"/>
                      <wp:lineTo x="15578" y="1508"/>
                      <wp:lineTo x="13317" y="251"/>
                      <wp:lineTo x="8040" y="251"/>
                    </wp:wrapPolygon>
                  </wp:wrapTight>
                  <wp:docPr id="274563322" name="Graphic 1" descr="Enabling capabilit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02411" name="Graphic 1" descr="Enabling capabilities icon"/>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638000" cy="1638000"/>
                          </a:xfrm>
                          <a:prstGeom prst="rect">
                            <a:avLst/>
                          </a:prstGeom>
                        </pic:spPr>
                      </pic:pic>
                    </a:graphicData>
                  </a:graphic>
                  <wp14:sizeRelH relativeFrom="margin">
                    <wp14:pctWidth>0</wp14:pctWidth>
                  </wp14:sizeRelH>
                  <wp14:sizeRelV relativeFrom="margin">
                    <wp14:pctHeight>0</wp14:pctHeight>
                  </wp14:sizeRelV>
                </wp:anchor>
              </w:drawing>
            </w:r>
          </w:p>
        </w:tc>
        <w:tc>
          <w:tcPr>
            <w:tcW w:w="6090" w:type="dxa"/>
            <w:tcBorders>
              <w:top w:val="nil"/>
              <w:left w:val="nil"/>
              <w:bottom w:val="nil"/>
              <w:right w:val="nil"/>
            </w:tcBorders>
          </w:tcPr>
          <w:p w14:paraId="473A09F7" w14:textId="77777777" w:rsidR="003B0525" w:rsidRPr="00EF27A9" w:rsidRDefault="003B0525" w:rsidP="00F76073">
            <w:pPr>
              <w:autoSpaceDE w:val="0"/>
              <w:autoSpaceDN w:val="0"/>
              <w:adjustRightInd w:val="0"/>
              <w:spacing w:after="0"/>
              <w:rPr>
                <w:rFonts w:cstheme="minorHAnsi"/>
                <w:color w:val="0F1133"/>
              </w:rPr>
            </w:pPr>
            <w:r>
              <w:rPr>
                <w:rFonts w:cstheme="minorHAnsi"/>
                <w:color w:val="0F1133"/>
              </w:rPr>
              <w:t>T</w:t>
            </w:r>
            <w:r w:rsidRPr="00EF27A9">
              <w:rPr>
                <w:rFonts w:cstheme="minorHAnsi"/>
                <w:color w:val="0F1133"/>
              </w:rPr>
              <w:t>echnology area that enables development of more complex domestic manufacturing industries and strengthening of Australia’s sovereign capability. Advanced manufacturing aligns with national priority areas by supporting commercialisation of transformative advanced technologies that drive cross-sectoral productivity and support national interests.</w:t>
            </w:r>
          </w:p>
          <w:p w14:paraId="189D24F8" w14:textId="77777777" w:rsidR="003B0525" w:rsidRPr="00EF27A9" w:rsidRDefault="003B0525" w:rsidP="00F76073">
            <w:pPr>
              <w:pStyle w:val="ListBullet"/>
              <w:numPr>
                <w:ilvl w:val="0"/>
                <w:numId w:val="0"/>
              </w:numPr>
            </w:pPr>
          </w:p>
          <w:p w14:paraId="5FA00892" w14:textId="77777777" w:rsidR="003B0525" w:rsidRPr="00D305FF" w:rsidRDefault="00C97261" w:rsidP="003B0525">
            <w:pPr>
              <w:pStyle w:val="ListBullet"/>
              <w:numPr>
                <w:ilvl w:val="0"/>
                <w:numId w:val="61"/>
              </w:numPr>
              <w:rPr>
                <w:color w:val="215E9F"/>
                <w:u w:val="single"/>
              </w:rPr>
            </w:pPr>
            <w:hyperlink r:id="rId110" w:history="1">
              <w:r w:rsidR="003B0525" w:rsidRPr="009B10BC">
                <w:rPr>
                  <w:rStyle w:val="Hyperlink"/>
                  <w:color w:val="215E9F"/>
                </w:rPr>
                <w:t>Critical Minerals Strategy 2023-2030</w:t>
              </w:r>
            </w:hyperlink>
          </w:p>
          <w:p w14:paraId="1975B803" w14:textId="77777777" w:rsidR="003B0525" w:rsidRPr="00D305FF" w:rsidRDefault="00C97261" w:rsidP="003B0525">
            <w:pPr>
              <w:pStyle w:val="ListBullet"/>
              <w:numPr>
                <w:ilvl w:val="0"/>
                <w:numId w:val="61"/>
              </w:numPr>
              <w:rPr>
                <w:color w:val="215E9F"/>
                <w:u w:val="single"/>
              </w:rPr>
            </w:pPr>
            <w:hyperlink r:id="rId111" w:history="1">
              <w:r w:rsidR="003B0525" w:rsidRPr="009B10BC">
                <w:rPr>
                  <w:rStyle w:val="Hyperlink"/>
                  <w:color w:val="215E9F"/>
                </w:rPr>
                <w:t>List of Critical Technologies in the National Interest</w:t>
              </w:r>
            </w:hyperlink>
          </w:p>
          <w:p w14:paraId="5420FEF0" w14:textId="77777777" w:rsidR="003B0525" w:rsidRPr="00F76073" w:rsidRDefault="00C97261" w:rsidP="003B0525">
            <w:pPr>
              <w:pStyle w:val="ListBullet"/>
              <w:numPr>
                <w:ilvl w:val="0"/>
                <w:numId w:val="61"/>
              </w:numPr>
              <w:rPr>
                <w:u w:val="single"/>
              </w:rPr>
            </w:pPr>
            <w:hyperlink r:id="rId112" w:history="1">
              <w:r w:rsidR="003B0525" w:rsidRPr="009B10BC">
                <w:rPr>
                  <w:rStyle w:val="Hyperlink"/>
                  <w:color w:val="215E9F"/>
                </w:rPr>
                <w:t>Future Made in Australia agenda</w:t>
              </w:r>
            </w:hyperlink>
            <w:r w:rsidR="003B0525" w:rsidRPr="00D305FF">
              <w:rPr>
                <w:u w:val="single"/>
              </w:rPr>
              <w:t xml:space="preserve"> </w:t>
            </w:r>
          </w:p>
        </w:tc>
      </w:tr>
      <w:tr w:rsidR="003B0525" w14:paraId="6974AEEB" w14:textId="77777777" w:rsidTr="00B30413">
        <w:tc>
          <w:tcPr>
            <w:tcW w:w="3119" w:type="dxa"/>
            <w:tcBorders>
              <w:top w:val="nil"/>
              <w:left w:val="nil"/>
              <w:bottom w:val="nil"/>
              <w:right w:val="nil"/>
            </w:tcBorders>
          </w:tcPr>
          <w:p w14:paraId="2A3C8B2D" w14:textId="77777777" w:rsidR="003B0525" w:rsidRPr="00184F73" w:rsidRDefault="003B0525" w:rsidP="004F630A">
            <w:pPr>
              <w:rPr>
                <w:noProof/>
              </w:rPr>
            </w:pPr>
          </w:p>
        </w:tc>
        <w:tc>
          <w:tcPr>
            <w:tcW w:w="6090" w:type="dxa"/>
            <w:tcBorders>
              <w:top w:val="nil"/>
              <w:left w:val="nil"/>
              <w:bottom w:val="nil"/>
              <w:right w:val="nil"/>
            </w:tcBorders>
          </w:tcPr>
          <w:p w14:paraId="6FB40D72" w14:textId="77777777" w:rsidR="003B0525" w:rsidRDefault="003B0525" w:rsidP="00F76073">
            <w:pPr>
              <w:autoSpaceDE w:val="0"/>
              <w:autoSpaceDN w:val="0"/>
              <w:adjustRightInd w:val="0"/>
              <w:spacing w:after="0"/>
              <w:rPr>
                <w:rFonts w:cstheme="minorHAnsi"/>
                <w:color w:val="0F1133"/>
              </w:rPr>
            </w:pPr>
          </w:p>
        </w:tc>
      </w:tr>
    </w:tbl>
    <w:tbl>
      <w:tblPr>
        <w:tblStyle w:val="EDU-Basic"/>
        <w:tblW w:w="9351" w:type="dxa"/>
        <w:tblInd w:w="-147" w:type="dxa"/>
        <w:tblLook w:val="04A0" w:firstRow="1" w:lastRow="0" w:firstColumn="1" w:lastColumn="0" w:noHBand="0" w:noVBand="1"/>
      </w:tblPr>
      <w:tblGrid>
        <w:gridCol w:w="4673"/>
        <w:gridCol w:w="4678"/>
      </w:tblGrid>
      <w:tr w:rsidR="003B0525" w14:paraId="68022EEA" w14:textId="77777777" w:rsidTr="00BF562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010035"/>
            <w:vAlign w:val="top"/>
          </w:tcPr>
          <w:p w14:paraId="3C676BC7" w14:textId="77777777" w:rsidR="003B0525" w:rsidRPr="001A3B28" w:rsidRDefault="003B0525" w:rsidP="0047209E">
            <w:pPr>
              <w:spacing w:after="100"/>
            </w:pPr>
            <w:r>
              <w:rPr>
                <w:rFonts w:cs="Inter ExtraBold"/>
                <w:b/>
                <w:bCs/>
                <w:sz w:val="23"/>
                <w:szCs w:val="23"/>
              </w:rPr>
              <w:t>Advantage</w:t>
            </w:r>
            <w:r w:rsidRPr="001A3B28">
              <w:rPr>
                <w:rFonts w:cs="Inter ExtraBold"/>
                <w:b/>
                <w:bCs/>
                <w:sz w:val="23"/>
                <w:szCs w:val="23"/>
              </w:rPr>
              <w:t xml:space="preserve"> </w:t>
            </w:r>
          </w:p>
        </w:tc>
        <w:tc>
          <w:tcPr>
            <w:tcW w:w="4678" w:type="dxa"/>
            <w:shd w:val="clear" w:color="auto" w:fill="010035"/>
            <w:vAlign w:val="top"/>
          </w:tcPr>
          <w:p w14:paraId="669E752D" w14:textId="77777777" w:rsidR="003B0525" w:rsidRPr="001A3B28" w:rsidRDefault="003B0525" w:rsidP="0047209E">
            <w:pPr>
              <w:spacing w:after="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r>
      <w:tr w:rsidR="003B0525" w14:paraId="40E81457" w14:textId="77777777" w:rsidTr="00BF5624">
        <w:trPr>
          <w:trHeight w:val="1140"/>
        </w:trPr>
        <w:tc>
          <w:tcPr>
            <w:cnfStyle w:val="001000000000" w:firstRow="0" w:lastRow="0" w:firstColumn="1" w:lastColumn="0" w:oddVBand="0" w:evenVBand="0" w:oddHBand="0" w:evenHBand="0" w:firstRowFirstColumn="0" w:firstRowLastColumn="0" w:lastRowFirstColumn="0" w:lastRowLastColumn="0"/>
            <w:tcW w:w="4673" w:type="dxa"/>
            <w:vAlign w:val="top"/>
          </w:tcPr>
          <w:p w14:paraId="36CEB29B" w14:textId="77777777" w:rsidR="003B0525" w:rsidRPr="00EF27A9" w:rsidRDefault="003B0525" w:rsidP="00BF4F22">
            <w:pPr>
              <w:spacing w:after="0"/>
              <w:rPr>
                <w:rFonts w:cs="Inter"/>
                <w:color w:val="000000"/>
              </w:rPr>
            </w:pPr>
            <w:r w:rsidRPr="00EF27A9">
              <w:rPr>
                <w:rFonts w:cs="Inter"/>
                <w:color w:val="000000"/>
              </w:rPr>
              <w:t>Australia has access to a diverse set of</w:t>
            </w:r>
            <w:r>
              <w:rPr>
                <w:rFonts w:cs="Inter"/>
                <w:color w:val="000000"/>
              </w:rPr>
              <w:t xml:space="preserve"> </w:t>
            </w:r>
            <w:r w:rsidRPr="00EF27A9">
              <w:rPr>
                <w:rFonts w:cs="Inter"/>
                <w:color w:val="000000"/>
              </w:rPr>
              <w:t>input materials and minerals, a highly skilled</w:t>
            </w:r>
            <w:r>
              <w:rPr>
                <w:rFonts w:cs="Inter"/>
                <w:color w:val="000000"/>
              </w:rPr>
              <w:t xml:space="preserve"> </w:t>
            </w:r>
            <w:r w:rsidRPr="00EF27A9">
              <w:rPr>
                <w:rFonts w:cs="Inter"/>
                <w:color w:val="000000"/>
              </w:rPr>
              <w:t>workforce, and hosts world-leading research</w:t>
            </w:r>
            <w:r>
              <w:rPr>
                <w:rFonts w:cs="Inter"/>
                <w:color w:val="000000"/>
              </w:rPr>
              <w:t xml:space="preserve"> </w:t>
            </w:r>
            <w:r w:rsidRPr="00EF27A9">
              <w:rPr>
                <w:rFonts w:cs="Inter"/>
                <w:color w:val="000000"/>
              </w:rPr>
              <w:t>with unrealised industrial potential.</w:t>
            </w:r>
          </w:p>
        </w:tc>
        <w:tc>
          <w:tcPr>
            <w:tcW w:w="4678" w:type="dxa"/>
            <w:vAlign w:val="top"/>
          </w:tcPr>
          <w:p w14:paraId="32A6B7DB" w14:textId="77777777" w:rsidR="003B0525" w:rsidRDefault="003B0525" w:rsidP="00BF4F22">
            <w:pPr>
              <w:cnfStyle w:val="000000000000" w:firstRow="0" w:lastRow="0" w:firstColumn="0" w:lastColumn="0" w:oddVBand="0" w:evenVBand="0" w:oddHBand="0" w:evenHBand="0" w:firstRowFirstColumn="0" w:firstRowLastColumn="0" w:lastRowFirstColumn="0" w:lastRowLastColumn="0"/>
            </w:pPr>
            <w:r w:rsidRPr="008E7365">
              <w:t>To add value to our existing material inputs and develop</w:t>
            </w:r>
            <w:r>
              <w:t xml:space="preserve"> </w:t>
            </w:r>
            <w:r w:rsidRPr="008E7365">
              <w:t>sovereign capability to produce complex goods that</w:t>
            </w:r>
            <w:r>
              <w:t xml:space="preserve"> </w:t>
            </w:r>
            <w:r w:rsidRPr="008E7365">
              <w:t>feed into Australia’s industries and command greater</w:t>
            </w:r>
            <w:r>
              <w:t xml:space="preserve"> </w:t>
            </w:r>
            <w:r w:rsidRPr="008E7365">
              <w:t>value in global supply chains.</w:t>
            </w:r>
          </w:p>
        </w:tc>
      </w:tr>
    </w:tbl>
    <w:p w14:paraId="226127E5" w14:textId="77777777" w:rsidR="003B0525" w:rsidRPr="009C05D4" w:rsidRDefault="003B0525" w:rsidP="009C05D4"/>
    <w:p w14:paraId="04445150" w14:textId="77777777" w:rsidR="003B0525" w:rsidRDefault="003B0525" w:rsidP="0094344D">
      <w:pPr>
        <w:pStyle w:val="Heading2"/>
      </w:pPr>
      <w:r>
        <w:lastRenderedPageBreak/>
        <w:t xml:space="preserve">Research strength </w:t>
      </w:r>
    </w:p>
    <w:p w14:paraId="4BF02ABA" w14:textId="77777777" w:rsidR="003B0525" w:rsidRDefault="003B0525" w:rsidP="000C1149">
      <w:pPr>
        <w:spacing w:after="600"/>
      </w:pPr>
      <w:r>
        <w:rPr>
          <w:b/>
          <w:bCs/>
          <w:noProof/>
        </w:rPr>
        <w:drawing>
          <wp:anchor distT="0" distB="0" distL="114300" distR="114300" simplePos="0" relativeHeight="251706370" behindDoc="0" locked="0" layoutInCell="1" allowOverlap="1" wp14:anchorId="361985A4" wp14:editId="24E45F60">
            <wp:simplePos x="0" y="0"/>
            <wp:positionH relativeFrom="column">
              <wp:posOffset>22860</wp:posOffset>
            </wp:positionH>
            <wp:positionV relativeFrom="paragraph">
              <wp:posOffset>421005</wp:posOffset>
            </wp:positionV>
            <wp:extent cx="766445" cy="776605"/>
            <wp:effectExtent l="0" t="0" r="0" b="4445"/>
            <wp:wrapSquare wrapText="bothSides"/>
            <wp:docPr id="202793473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5809" name="Picture 2">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66445" cy="776605"/>
                    </a:xfrm>
                    <a:prstGeom prst="rect">
                      <a:avLst/>
                    </a:prstGeom>
                  </pic:spPr>
                </pic:pic>
              </a:graphicData>
            </a:graphic>
            <wp14:sizeRelH relativeFrom="margin">
              <wp14:pctWidth>0</wp14:pctWidth>
            </wp14:sizeRelH>
            <wp14:sizeRelV relativeFrom="margin">
              <wp14:pctHeight>0</wp14:pctHeight>
            </wp14:sizeRelV>
          </wp:anchor>
        </w:drawing>
      </w:r>
      <w:r>
        <w:t xml:space="preserve">Australia’s rank in the OECD calculated using 2018-2022 bibliometric data from Elsevier’s </w:t>
      </w:r>
      <w:proofErr w:type="spellStart"/>
      <w:r>
        <w:t>SciVal</w:t>
      </w:r>
      <w:proofErr w:type="spellEnd"/>
      <w:r>
        <w:t xml:space="preserve">. Advanced manufacturing was defined using custom search terms. </w:t>
      </w:r>
    </w:p>
    <w:p w14:paraId="57A3F20B" w14:textId="77777777" w:rsidR="003B0525" w:rsidRPr="00CC5CA1" w:rsidRDefault="003B0525" w:rsidP="00D67246">
      <w:pPr>
        <w:spacing w:after="960"/>
        <w:ind w:left="1701"/>
        <w:rPr>
          <w:highlight w:val="yellow"/>
        </w:rPr>
      </w:pPr>
      <w:r>
        <w:rPr>
          <w:b/>
          <w:bCs/>
          <w:noProof/>
        </w:rPr>
        <w:drawing>
          <wp:anchor distT="0" distB="0" distL="114300" distR="114300" simplePos="0" relativeHeight="251705346" behindDoc="1" locked="0" layoutInCell="1" allowOverlap="1" wp14:anchorId="11E47A23" wp14:editId="54358962">
            <wp:simplePos x="0" y="0"/>
            <wp:positionH relativeFrom="margin">
              <wp:align>left</wp:align>
            </wp:positionH>
            <wp:positionV relativeFrom="paragraph">
              <wp:posOffset>510540</wp:posOffset>
            </wp:positionV>
            <wp:extent cx="788670" cy="799465"/>
            <wp:effectExtent l="0" t="0" r="0" b="635"/>
            <wp:wrapThrough wrapText="bothSides">
              <wp:wrapPolygon edited="0">
                <wp:start x="6261" y="515"/>
                <wp:lineTo x="3130" y="3088"/>
                <wp:lineTo x="0" y="7720"/>
                <wp:lineTo x="0" y="12867"/>
                <wp:lineTo x="1565" y="18014"/>
                <wp:lineTo x="6261" y="20588"/>
                <wp:lineTo x="6783" y="21102"/>
                <wp:lineTo x="13565" y="21102"/>
                <wp:lineTo x="14087" y="20588"/>
                <wp:lineTo x="18261" y="18014"/>
                <wp:lineTo x="20870" y="11838"/>
                <wp:lineTo x="20870" y="8235"/>
                <wp:lineTo x="17217" y="3603"/>
                <wp:lineTo x="14087" y="515"/>
                <wp:lineTo x="6261" y="515"/>
              </wp:wrapPolygon>
            </wp:wrapThrough>
            <wp:docPr id="21224013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24326" name="Picture 1">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Pr>
          <w:b/>
          <w:bCs/>
        </w:rPr>
        <w:t>8</w:t>
      </w:r>
      <w:r w:rsidRPr="00B569FB">
        <w:rPr>
          <w:b/>
          <w:bCs/>
          <w:vertAlign w:val="superscript"/>
        </w:rPr>
        <w:t>th</w:t>
      </w:r>
      <w:r w:rsidRPr="00B569FB">
        <w:rPr>
          <w:b/>
          <w:bCs/>
        </w:rPr>
        <w:t xml:space="preserve"> </w:t>
      </w:r>
      <w:r>
        <w:rPr>
          <w:b/>
          <w:bCs/>
        </w:rPr>
        <w:t xml:space="preserve">– </w:t>
      </w:r>
      <w:r w:rsidRPr="00B569FB">
        <w:rPr>
          <w:b/>
          <w:bCs/>
        </w:rPr>
        <w:t>Output</w:t>
      </w:r>
      <w:r w:rsidRPr="00830166">
        <w:t>: number of scholarly papers</w:t>
      </w:r>
    </w:p>
    <w:p w14:paraId="47896CFB" w14:textId="77777777" w:rsidR="003B0525" w:rsidRPr="00CC5CA1" w:rsidRDefault="003B0525" w:rsidP="00D67246">
      <w:pPr>
        <w:spacing w:after="960"/>
        <w:ind w:left="1701"/>
        <w:rPr>
          <w:highlight w:val="yellow"/>
        </w:rPr>
      </w:pPr>
      <w:r>
        <w:rPr>
          <w:b/>
          <w:bCs/>
          <w:noProof/>
        </w:rPr>
        <w:drawing>
          <wp:anchor distT="0" distB="0" distL="114300" distR="114300" simplePos="0" relativeHeight="251707394" behindDoc="0" locked="0" layoutInCell="1" allowOverlap="1" wp14:anchorId="5A684411" wp14:editId="318847C1">
            <wp:simplePos x="0" y="0"/>
            <wp:positionH relativeFrom="margin">
              <wp:align>left</wp:align>
            </wp:positionH>
            <wp:positionV relativeFrom="paragraph">
              <wp:posOffset>577850</wp:posOffset>
            </wp:positionV>
            <wp:extent cx="788670" cy="799465"/>
            <wp:effectExtent l="0" t="0" r="0" b="635"/>
            <wp:wrapSquare wrapText="bothSides"/>
            <wp:docPr id="132475414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09148" name="Picture 3">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88840" cy="799465"/>
                    </a:xfrm>
                    <a:prstGeom prst="rect">
                      <a:avLst/>
                    </a:prstGeom>
                  </pic:spPr>
                </pic:pic>
              </a:graphicData>
            </a:graphic>
            <wp14:sizeRelH relativeFrom="margin">
              <wp14:pctWidth>0</wp14:pctWidth>
            </wp14:sizeRelH>
            <wp14:sizeRelV relativeFrom="margin">
              <wp14:pctHeight>0</wp14:pctHeight>
            </wp14:sizeRelV>
          </wp:anchor>
        </w:drawing>
      </w:r>
      <w:r w:rsidRPr="00B569FB">
        <w:rPr>
          <w:b/>
          <w:bCs/>
        </w:rPr>
        <w:t>1</w:t>
      </w:r>
      <w:r w:rsidRPr="00B569FB">
        <w:rPr>
          <w:b/>
          <w:bCs/>
          <w:vertAlign w:val="superscript"/>
        </w:rPr>
        <w:t>st</w:t>
      </w:r>
      <w:r w:rsidRPr="00B569FB">
        <w:rPr>
          <w:b/>
          <w:bCs/>
        </w:rPr>
        <w:t xml:space="preserve"> </w:t>
      </w:r>
      <w:r>
        <w:rPr>
          <w:b/>
          <w:bCs/>
        </w:rPr>
        <w:t xml:space="preserve">– </w:t>
      </w:r>
      <w:r w:rsidRPr="00B569FB">
        <w:rPr>
          <w:b/>
          <w:bCs/>
        </w:rPr>
        <w:t>Impact:</w:t>
      </w:r>
      <w:r w:rsidRPr="00884F60">
        <w:t xml:space="preserve"> field-weighted citation impact </w:t>
      </w:r>
    </w:p>
    <w:p w14:paraId="7E26C2FB" w14:textId="77777777" w:rsidR="003B0525" w:rsidRDefault="003B0525" w:rsidP="00D67246">
      <w:pPr>
        <w:spacing w:after="1320"/>
        <w:ind w:left="1701"/>
        <w:rPr>
          <w:b/>
          <w:bCs/>
        </w:rPr>
      </w:pPr>
      <w:r w:rsidRPr="00B569FB">
        <w:rPr>
          <w:b/>
          <w:bCs/>
        </w:rPr>
        <w:t>1</w:t>
      </w:r>
      <w:r w:rsidRPr="00B569FB">
        <w:rPr>
          <w:b/>
          <w:bCs/>
          <w:vertAlign w:val="superscript"/>
        </w:rPr>
        <w:t>st</w:t>
      </w:r>
      <w:r w:rsidRPr="00B569FB">
        <w:rPr>
          <w:b/>
          <w:bCs/>
        </w:rPr>
        <w:t xml:space="preserve"> </w:t>
      </w:r>
      <w:r>
        <w:rPr>
          <w:b/>
          <w:bCs/>
        </w:rPr>
        <w:t xml:space="preserve">– </w:t>
      </w:r>
      <w:r w:rsidRPr="00B569FB">
        <w:rPr>
          <w:b/>
          <w:bCs/>
        </w:rPr>
        <w:t>Quality:</w:t>
      </w:r>
      <w:r w:rsidRPr="00884F60">
        <w:t xml:space="preserve"> </w:t>
      </w:r>
      <w:proofErr w:type="gramStart"/>
      <w:r w:rsidRPr="00884F60">
        <w:t>amount</w:t>
      </w:r>
      <w:proofErr w:type="gramEnd"/>
      <w:r w:rsidRPr="00884F60">
        <w:t xml:space="preserve"> of papers in 10% most cited journal</w:t>
      </w:r>
    </w:p>
    <w:p w14:paraId="3013034E" w14:textId="77777777" w:rsidR="003B0525" w:rsidRPr="00D86090" w:rsidRDefault="003B0525" w:rsidP="00D86090">
      <w:pPr>
        <w:pStyle w:val="Heading2"/>
      </w:pPr>
      <w:r>
        <w:rPr>
          <w:noProof/>
        </w:rPr>
        <w:drawing>
          <wp:anchor distT="0" distB="0" distL="114300" distR="114300" simplePos="0" relativeHeight="251704322" behindDoc="1" locked="0" layoutInCell="1" allowOverlap="1" wp14:anchorId="6D89DE37" wp14:editId="5D1EC9F5">
            <wp:simplePos x="0" y="0"/>
            <wp:positionH relativeFrom="column">
              <wp:posOffset>-190500</wp:posOffset>
            </wp:positionH>
            <wp:positionV relativeFrom="paragraph">
              <wp:posOffset>502920</wp:posOffset>
            </wp:positionV>
            <wp:extent cx="1096645" cy="1098620"/>
            <wp:effectExtent l="0" t="0" r="8255" b="6350"/>
            <wp:wrapNone/>
            <wp:docPr id="31624203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03067" name="Picture 2">
                      <a:extLst>
                        <a:ext uri="{C183D7F6-B498-43B3-948B-1728B52AA6E4}">
                          <adec:decorative xmlns:adec="http://schemas.microsoft.com/office/drawing/2017/decorative" val="1"/>
                        </a:ext>
                      </a:extLst>
                    </pic:cNvPr>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096645" cy="1098620"/>
                    </a:xfrm>
                    <a:prstGeom prst="rect">
                      <a:avLst/>
                    </a:prstGeom>
                  </pic:spPr>
                </pic:pic>
              </a:graphicData>
            </a:graphic>
          </wp:anchor>
        </w:drawing>
      </w:r>
      <w:r w:rsidRPr="00D86090">
        <w:t xml:space="preserve">IP potential </w:t>
      </w:r>
    </w:p>
    <w:p w14:paraId="6472A55E" w14:textId="77777777" w:rsidR="003B0525" w:rsidRPr="00B569FB" w:rsidRDefault="003B0525" w:rsidP="00D67246">
      <w:pPr>
        <w:ind w:left="1701"/>
        <w:rPr>
          <w:b/>
          <w:bCs/>
        </w:rPr>
      </w:pPr>
      <w:r w:rsidRPr="00B569FB">
        <w:rPr>
          <w:b/>
          <w:bCs/>
        </w:rPr>
        <w:t>9</w:t>
      </w:r>
      <w:r>
        <w:rPr>
          <w:b/>
          <w:bCs/>
        </w:rPr>
        <w:t>7</w:t>
      </w:r>
      <w:r w:rsidRPr="00B569FB">
        <w:rPr>
          <w:b/>
          <w:bCs/>
        </w:rPr>
        <w:t>%</w:t>
      </w:r>
    </w:p>
    <w:p w14:paraId="1D3F05C8" w14:textId="77777777" w:rsidR="003B0525" w:rsidRPr="00D86090" w:rsidRDefault="003B0525" w:rsidP="00D67246">
      <w:pPr>
        <w:ind w:left="1701"/>
      </w:pPr>
      <w:r w:rsidRPr="00D86090">
        <w:t xml:space="preserve">Australia’s share of publications cited in patent applications compared to the OECD average expressed as a percentage. </w:t>
      </w:r>
    </w:p>
    <w:p w14:paraId="15CD7C16" w14:textId="77777777" w:rsidR="003B0525" w:rsidRPr="00D86090" w:rsidRDefault="003B0525" w:rsidP="00D67246">
      <w:pPr>
        <w:spacing w:after="1200"/>
        <w:ind w:left="1701"/>
      </w:pPr>
      <w:r w:rsidRPr="00D86090">
        <w:t xml:space="preserve">Refers to 2018-2022 patent and publication data in the Lens database. </w:t>
      </w:r>
    </w:p>
    <w:p w14:paraId="071E14D6" w14:textId="77777777" w:rsidR="003B0525" w:rsidRPr="00D86090" w:rsidRDefault="003B0525" w:rsidP="00D86090">
      <w:pPr>
        <w:pStyle w:val="Heading2"/>
      </w:pPr>
      <w:r w:rsidRPr="00D86090">
        <w:t xml:space="preserve">Market opportunity assessment </w:t>
      </w:r>
    </w:p>
    <w:p w14:paraId="28121C1A" w14:textId="77777777" w:rsidR="003B0525" w:rsidRPr="00EB7A7E" w:rsidRDefault="003B0525" w:rsidP="00EB7A7E">
      <w:pPr>
        <w:pStyle w:val="ListBullet"/>
      </w:pPr>
      <w:r>
        <w:t>Australian additive manufacturing market size of AU$0.11 billion in 2022</w:t>
      </w:r>
      <w:r w:rsidRPr="00173687">
        <w:rPr>
          <w:vertAlign w:val="superscript"/>
        </w:rPr>
        <w:footnoteReference w:id="21"/>
      </w:r>
      <w:r>
        <w:t xml:space="preserve"> </w:t>
      </w:r>
    </w:p>
    <w:p w14:paraId="59CCDA6D" w14:textId="77777777" w:rsidR="003B0525" w:rsidRDefault="003B0525" w:rsidP="00AB03B7">
      <w:pPr>
        <w:pStyle w:val="ListBullet"/>
      </w:pPr>
      <w:r>
        <w:t>Projected compound annual market growth of 23.3% from 2023-2030</w:t>
      </w:r>
      <w:r w:rsidRPr="00173687">
        <w:rPr>
          <w:vertAlign w:val="superscript"/>
        </w:rPr>
        <w:footnoteReference w:id="22"/>
      </w:r>
      <w:r w:rsidRPr="00173687">
        <w:rPr>
          <w:vertAlign w:val="superscript"/>
        </w:rPr>
        <w:t xml:space="preserve"> </w:t>
      </w:r>
      <w:r>
        <w:t xml:space="preserve"> </w:t>
      </w:r>
    </w:p>
    <w:p w14:paraId="22E45E4B" w14:textId="77777777" w:rsidR="003B0525" w:rsidRDefault="003B0525" w:rsidP="00AB03B7">
      <w:pPr>
        <w:pStyle w:val="ListBullet"/>
      </w:pPr>
      <w:r>
        <w:t>Global market size of AU$19.6 billion in 2022</w:t>
      </w:r>
      <w:r>
        <w:rPr>
          <w:rStyle w:val="FootnoteReference"/>
        </w:rPr>
        <w:footnoteReference w:id="23"/>
      </w:r>
    </w:p>
    <w:p w14:paraId="2E021CCB" w14:textId="77777777" w:rsidR="003B0525" w:rsidRPr="00AB03B7" w:rsidRDefault="003B0525" w:rsidP="00AB03B7">
      <w:pPr>
        <w:pStyle w:val="ListBullet"/>
      </w:pPr>
      <w:r>
        <w:t>Projected global compound annual market growth 20.4% in 2022-2030</w:t>
      </w:r>
      <w:r w:rsidRPr="00F25F96">
        <w:rPr>
          <w:vertAlign w:val="superscript"/>
        </w:rPr>
        <w:footnoteReference w:id="24"/>
      </w:r>
    </w:p>
    <w:p w14:paraId="22175E68" w14:textId="77777777" w:rsidR="003B0525" w:rsidRPr="00D86090" w:rsidRDefault="003B0525" w:rsidP="00D86090">
      <w:pPr>
        <w:pStyle w:val="Heading2"/>
      </w:pPr>
      <w:r w:rsidRPr="00D86090">
        <w:lastRenderedPageBreak/>
        <w:t xml:space="preserve">Example industry problems </w:t>
      </w:r>
    </w:p>
    <w:p w14:paraId="758D7A45" w14:textId="77777777" w:rsidR="003B0525" w:rsidRDefault="003B0525" w:rsidP="004C7CFE">
      <w:r w:rsidRPr="00D86090">
        <w:t>AEA aims to provide developmental support for promising research commercialisation projects at the proof-of-concept or proof-of-scale level (TRL stages 3-7). Successful projects will scale up to meet emerging industry needs.</w:t>
      </w:r>
    </w:p>
    <w:tbl>
      <w:tblPr>
        <w:tblStyle w:val="EDU-Basic"/>
        <w:tblW w:w="0" w:type="auto"/>
        <w:tblLook w:val="04A0" w:firstRow="1" w:lastRow="0" w:firstColumn="1" w:lastColumn="0" w:noHBand="0" w:noVBand="1"/>
      </w:tblPr>
      <w:tblGrid>
        <w:gridCol w:w="3005"/>
        <w:gridCol w:w="3005"/>
        <w:gridCol w:w="3006"/>
      </w:tblGrid>
      <w:tr w:rsidR="003B0525" w14:paraId="7671C6B6" w14:textId="77777777" w:rsidTr="00B2557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010035"/>
            <w:vAlign w:val="top"/>
          </w:tcPr>
          <w:p w14:paraId="4F9895A3" w14:textId="77777777" w:rsidR="003B0525" w:rsidRPr="001A3B28" w:rsidRDefault="003B0525" w:rsidP="00DD0C70">
            <w:pPr>
              <w:spacing w:after="100"/>
            </w:pPr>
            <w:r w:rsidRPr="001A3B28">
              <w:rPr>
                <w:rFonts w:cs="Inter ExtraBold"/>
                <w:b/>
                <w:bCs/>
                <w:sz w:val="23"/>
                <w:szCs w:val="23"/>
              </w:rPr>
              <w:t xml:space="preserve">Industry problem </w:t>
            </w:r>
          </w:p>
        </w:tc>
        <w:tc>
          <w:tcPr>
            <w:tcW w:w="3005" w:type="dxa"/>
            <w:shd w:val="clear" w:color="auto" w:fill="010035"/>
            <w:vAlign w:val="top"/>
          </w:tcPr>
          <w:p w14:paraId="2BB16FB3" w14:textId="77777777" w:rsidR="003B0525" w:rsidRPr="001A3B28" w:rsidRDefault="003B0525"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Opportunity </w:t>
            </w:r>
          </w:p>
        </w:tc>
        <w:tc>
          <w:tcPr>
            <w:tcW w:w="3006" w:type="dxa"/>
            <w:shd w:val="clear" w:color="auto" w:fill="010035"/>
            <w:vAlign w:val="top"/>
          </w:tcPr>
          <w:p w14:paraId="5116E591" w14:textId="77777777" w:rsidR="003B0525" w:rsidRPr="001A3B28" w:rsidRDefault="003B0525" w:rsidP="00DD0C70">
            <w:pPr>
              <w:spacing w:after="100"/>
              <w:cnfStyle w:val="100000000000" w:firstRow="1" w:lastRow="0" w:firstColumn="0" w:lastColumn="0" w:oddVBand="0" w:evenVBand="0" w:oddHBand="0" w:evenHBand="0" w:firstRowFirstColumn="0" w:firstRowLastColumn="0" w:lastRowFirstColumn="0" w:lastRowLastColumn="0"/>
            </w:pPr>
            <w:r w:rsidRPr="001A3B28">
              <w:rPr>
                <w:rFonts w:cs="Inter ExtraBold"/>
                <w:b/>
                <w:bCs/>
                <w:sz w:val="23"/>
                <w:szCs w:val="23"/>
              </w:rPr>
              <w:t xml:space="preserve">Impact </w:t>
            </w:r>
          </w:p>
        </w:tc>
      </w:tr>
      <w:tr w:rsidR="003B0525" w14:paraId="32C8F526" w14:textId="77777777" w:rsidTr="00BF4F22">
        <w:trPr>
          <w:trHeight w:val="1273"/>
        </w:trPr>
        <w:tc>
          <w:tcPr>
            <w:cnfStyle w:val="001000000000" w:firstRow="0" w:lastRow="0" w:firstColumn="1" w:lastColumn="0" w:oddVBand="0" w:evenVBand="0" w:oddHBand="0" w:evenHBand="0" w:firstRowFirstColumn="0" w:firstRowLastColumn="0" w:lastRowFirstColumn="0" w:lastRowLastColumn="0"/>
            <w:tcW w:w="3005" w:type="dxa"/>
            <w:vAlign w:val="top"/>
          </w:tcPr>
          <w:p w14:paraId="05E1288F" w14:textId="77777777" w:rsidR="003B0525" w:rsidRPr="00772211" w:rsidRDefault="003B0525" w:rsidP="00BF4F22">
            <w:pPr>
              <w:rPr>
                <w:sz w:val="20"/>
                <w:szCs w:val="20"/>
              </w:rPr>
            </w:pPr>
            <w:r w:rsidRPr="00872057">
              <w:rPr>
                <w:sz w:val="20"/>
                <w:szCs w:val="20"/>
              </w:rPr>
              <w:t>High complexity input goods like</w:t>
            </w:r>
            <w:r w:rsidRPr="00772211">
              <w:rPr>
                <w:sz w:val="20"/>
                <w:szCs w:val="20"/>
              </w:rPr>
              <w:t xml:space="preserve"> </w:t>
            </w:r>
            <w:r w:rsidRPr="00872057">
              <w:rPr>
                <w:sz w:val="20"/>
                <w:szCs w:val="20"/>
              </w:rPr>
              <w:t>semiconductors and integrated</w:t>
            </w:r>
            <w:r w:rsidRPr="00772211">
              <w:rPr>
                <w:sz w:val="20"/>
                <w:szCs w:val="20"/>
              </w:rPr>
              <w:t xml:space="preserve"> circuits face supply risks.</w:t>
            </w:r>
          </w:p>
        </w:tc>
        <w:tc>
          <w:tcPr>
            <w:tcW w:w="3005" w:type="dxa"/>
            <w:vAlign w:val="top"/>
          </w:tcPr>
          <w:p w14:paraId="29DDB3EB"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965A91">
              <w:rPr>
                <w:sz w:val="20"/>
                <w:szCs w:val="20"/>
              </w:rPr>
              <w:t>Build Australian capability to produce</w:t>
            </w:r>
            <w:r w:rsidRPr="00772211">
              <w:rPr>
                <w:sz w:val="20"/>
                <w:szCs w:val="20"/>
              </w:rPr>
              <w:t xml:space="preserve"> </w:t>
            </w:r>
            <w:r w:rsidRPr="00965A91">
              <w:rPr>
                <w:sz w:val="20"/>
                <w:szCs w:val="20"/>
              </w:rPr>
              <w:t>highly specialised semiconductors or</w:t>
            </w:r>
            <w:r w:rsidRPr="00772211">
              <w:rPr>
                <w:sz w:val="20"/>
                <w:szCs w:val="20"/>
              </w:rPr>
              <w:t xml:space="preserve"> </w:t>
            </w:r>
            <w:r w:rsidRPr="00965A91">
              <w:rPr>
                <w:sz w:val="20"/>
                <w:szCs w:val="20"/>
              </w:rPr>
              <w:t>gain more value from our raw materials</w:t>
            </w:r>
            <w:r w:rsidRPr="00772211">
              <w:rPr>
                <w:sz w:val="20"/>
                <w:szCs w:val="20"/>
              </w:rPr>
              <w:t xml:space="preserve"> used in their production.</w:t>
            </w:r>
          </w:p>
        </w:tc>
        <w:tc>
          <w:tcPr>
            <w:tcW w:w="3006" w:type="dxa"/>
            <w:vAlign w:val="top"/>
          </w:tcPr>
          <w:p w14:paraId="394BFA2A"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C9036F">
              <w:rPr>
                <w:sz w:val="20"/>
                <w:szCs w:val="20"/>
              </w:rPr>
              <w:t>Reduce the impact of trade shocks</w:t>
            </w:r>
            <w:r w:rsidRPr="00772211">
              <w:rPr>
                <w:sz w:val="20"/>
                <w:szCs w:val="20"/>
              </w:rPr>
              <w:t xml:space="preserve"> </w:t>
            </w:r>
            <w:r w:rsidRPr="00C9036F">
              <w:rPr>
                <w:sz w:val="20"/>
                <w:szCs w:val="20"/>
              </w:rPr>
              <w:t>and gain a stake in the growing</w:t>
            </w:r>
            <w:r w:rsidRPr="00772211">
              <w:rPr>
                <w:sz w:val="20"/>
                <w:szCs w:val="20"/>
              </w:rPr>
              <w:t xml:space="preserve"> </w:t>
            </w:r>
            <w:r w:rsidRPr="00C9036F">
              <w:rPr>
                <w:sz w:val="20"/>
                <w:szCs w:val="20"/>
              </w:rPr>
              <w:t>market for highly complex electronic</w:t>
            </w:r>
            <w:r w:rsidRPr="00772211">
              <w:rPr>
                <w:sz w:val="20"/>
                <w:szCs w:val="20"/>
              </w:rPr>
              <w:t xml:space="preserve"> components.</w:t>
            </w:r>
          </w:p>
        </w:tc>
      </w:tr>
      <w:tr w:rsidR="003B0525" w14:paraId="0D1B3984" w14:textId="77777777" w:rsidTr="00BF4F22">
        <w:trPr>
          <w:trHeight w:val="1563"/>
        </w:trPr>
        <w:tc>
          <w:tcPr>
            <w:cnfStyle w:val="001000000000" w:firstRow="0" w:lastRow="0" w:firstColumn="1" w:lastColumn="0" w:oddVBand="0" w:evenVBand="0" w:oddHBand="0" w:evenHBand="0" w:firstRowFirstColumn="0" w:firstRowLastColumn="0" w:lastRowFirstColumn="0" w:lastRowLastColumn="0"/>
            <w:tcW w:w="3005" w:type="dxa"/>
            <w:vAlign w:val="top"/>
          </w:tcPr>
          <w:p w14:paraId="62718F1D" w14:textId="77777777" w:rsidR="003B0525" w:rsidRPr="00772211" w:rsidRDefault="003B0525" w:rsidP="00BF4F22">
            <w:pPr>
              <w:rPr>
                <w:sz w:val="20"/>
                <w:szCs w:val="20"/>
              </w:rPr>
            </w:pPr>
            <w:r w:rsidRPr="00F70469">
              <w:rPr>
                <w:sz w:val="20"/>
                <w:szCs w:val="20"/>
              </w:rPr>
              <w:t>Industries with large depleting</w:t>
            </w:r>
            <w:r w:rsidRPr="00772211">
              <w:rPr>
                <w:sz w:val="20"/>
                <w:szCs w:val="20"/>
              </w:rPr>
              <w:t xml:space="preserve"> </w:t>
            </w:r>
            <w:r w:rsidRPr="00F70469">
              <w:rPr>
                <w:sz w:val="20"/>
                <w:szCs w:val="20"/>
              </w:rPr>
              <w:t>capital stock or vehicle fleets face</w:t>
            </w:r>
            <w:r w:rsidRPr="00772211">
              <w:rPr>
                <w:sz w:val="20"/>
                <w:szCs w:val="20"/>
              </w:rPr>
              <w:t xml:space="preserve"> </w:t>
            </w:r>
            <w:r w:rsidRPr="00F70469">
              <w:rPr>
                <w:sz w:val="20"/>
                <w:szCs w:val="20"/>
              </w:rPr>
              <w:t>high maintenance and capital</w:t>
            </w:r>
            <w:r w:rsidRPr="00772211">
              <w:rPr>
                <w:sz w:val="20"/>
                <w:szCs w:val="20"/>
              </w:rPr>
              <w:t xml:space="preserve"> upgrading costs over time. </w:t>
            </w:r>
          </w:p>
        </w:tc>
        <w:tc>
          <w:tcPr>
            <w:tcW w:w="3005" w:type="dxa"/>
            <w:vAlign w:val="top"/>
          </w:tcPr>
          <w:p w14:paraId="398C4359"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8D1517">
              <w:rPr>
                <w:sz w:val="20"/>
                <w:szCs w:val="20"/>
              </w:rPr>
              <w:t>Develop more advanced techniques</w:t>
            </w:r>
            <w:r w:rsidRPr="00772211">
              <w:rPr>
                <w:sz w:val="20"/>
                <w:szCs w:val="20"/>
              </w:rPr>
              <w:t xml:space="preserve"> </w:t>
            </w:r>
            <w:r w:rsidRPr="008D1517">
              <w:rPr>
                <w:sz w:val="20"/>
                <w:szCs w:val="20"/>
              </w:rPr>
              <w:t>and equipment for in-situ or low</w:t>
            </w:r>
            <w:r w:rsidRPr="00772211">
              <w:rPr>
                <w:sz w:val="20"/>
                <w:szCs w:val="20"/>
              </w:rPr>
              <w:t>-</w:t>
            </w:r>
            <w:r w:rsidRPr="008D1517">
              <w:rPr>
                <w:sz w:val="20"/>
                <w:szCs w:val="20"/>
              </w:rPr>
              <w:t>cost</w:t>
            </w:r>
            <w:r w:rsidRPr="00772211">
              <w:rPr>
                <w:sz w:val="20"/>
                <w:szCs w:val="20"/>
              </w:rPr>
              <w:t xml:space="preserve"> </w:t>
            </w:r>
            <w:r w:rsidRPr="008D1517">
              <w:rPr>
                <w:sz w:val="20"/>
                <w:szCs w:val="20"/>
              </w:rPr>
              <w:t>manufacturing of complex parts,</w:t>
            </w:r>
            <w:r w:rsidRPr="00772211">
              <w:rPr>
                <w:sz w:val="20"/>
                <w:szCs w:val="20"/>
              </w:rPr>
              <w:t xml:space="preserve"> </w:t>
            </w:r>
            <w:r w:rsidRPr="008D1517">
              <w:rPr>
                <w:sz w:val="20"/>
                <w:szCs w:val="20"/>
              </w:rPr>
              <w:t>including additive manufacturing and</w:t>
            </w:r>
            <w:r w:rsidRPr="00772211">
              <w:rPr>
                <w:sz w:val="20"/>
                <w:szCs w:val="20"/>
              </w:rPr>
              <w:t xml:space="preserve"> feedstock materials like powders. </w:t>
            </w:r>
          </w:p>
        </w:tc>
        <w:tc>
          <w:tcPr>
            <w:tcW w:w="3006" w:type="dxa"/>
            <w:vAlign w:val="top"/>
          </w:tcPr>
          <w:p w14:paraId="550071D1"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EB7193">
              <w:rPr>
                <w:sz w:val="20"/>
                <w:szCs w:val="20"/>
              </w:rPr>
              <w:t>Reduce costs for the maintenance</w:t>
            </w:r>
            <w:r w:rsidRPr="00772211">
              <w:rPr>
                <w:sz w:val="20"/>
                <w:szCs w:val="20"/>
              </w:rPr>
              <w:t xml:space="preserve"> </w:t>
            </w:r>
            <w:r w:rsidRPr="00EB7193">
              <w:rPr>
                <w:sz w:val="20"/>
                <w:szCs w:val="20"/>
              </w:rPr>
              <w:t>of assets in Australia’s core</w:t>
            </w:r>
            <w:r w:rsidRPr="00772211">
              <w:rPr>
                <w:sz w:val="20"/>
                <w:szCs w:val="20"/>
              </w:rPr>
              <w:t xml:space="preserve"> </w:t>
            </w:r>
            <w:r w:rsidRPr="00EB7193">
              <w:rPr>
                <w:sz w:val="20"/>
                <w:szCs w:val="20"/>
              </w:rPr>
              <w:t>industries and reduce reliance on</w:t>
            </w:r>
            <w:r w:rsidRPr="00772211">
              <w:rPr>
                <w:sz w:val="20"/>
                <w:szCs w:val="20"/>
              </w:rPr>
              <w:t xml:space="preserve"> external sources.</w:t>
            </w:r>
          </w:p>
        </w:tc>
      </w:tr>
      <w:tr w:rsidR="003B0525" w14:paraId="642CEC67" w14:textId="77777777" w:rsidTr="00BF4F22">
        <w:trPr>
          <w:trHeight w:val="1346"/>
        </w:trPr>
        <w:tc>
          <w:tcPr>
            <w:cnfStyle w:val="001000000000" w:firstRow="0" w:lastRow="0" w:firstColumn="1" w:lastColumn="0" w:oddVBand="0" w:evenVBand="0" w:oddHBand="0" w:evenHBand="0" w:firstRowFirstColumn="0" w:firstRowLastColumn="0" w:lastRowFirstColumn="0" w:lastRowLastColumn="0"/>
            <w:tcW w:w="3005" w:type="dxa"/>
            <w:vAlign w:val="top"/>
          </w:tcPr>
          <w:p w14:paraId="687A4794" w14:textId="77777777" w:rsidR="003B0525" w:rsidRPr="00772211" w:rsidRDefault="003B0525" w:rsidP="00BF4F22">
            <w:pPr>
              <w:rPr>
                <w:sz w:val="20"/>
                <w:szCs w:val="20"/>
              </w:rPr>
            </w:pPr>
            <w:r w:rsidRPr="00E96250">
              <w:rPr>
                <w:sz w:val="20"/>
                <w:szCs w:val="20"/>
              </w:rPr>
              <w:t>Complex and personalised</w:t>
            </w:r>
            <w:r w:rsidRPr="00772211">
              <w:rPr>
                <w:sz w:val="20"/>
                <w:szCs w:val="20"/>
              </w:rPr>
              <w:t xml:space="preserve"> </w:t>
            </w:r>
            <w:r w:rsidRPr="00E96250">
              <w:rPr>
                <w:sz w:val="20"/>
                <w:szCs w:val="20"/>
              </w:rPr>
              <w:t>therapeutics require higher speed</w:t>
            </w:r>
            <w:r w:rsidRPr="00772211">
              <w:rPr>
                <w:sz w:val="20"/>
                <w:szCs w:val="20"/>
              </w:rPr>
              <w:t xml:space="preserve"> </w:t>
            </w:r>
            <w:r w:rsidRPr="00E96250">
              <w:rPr>
                <w:sz w:val="20"/>
                <w:szCs w:val="20"/>
              </w:rPr>
              <w:t>and output production methods to</w:t>
            </w:r>
            <w:r w:rsidRPr="00772211">
              <w:rPr>
                <w:sz w:val="20"/>
                <w:szCs w:val="20"/>
              </w:rPr>
              <w:t xml:space="preserve"> scale up and become affordable.</w:t>
            </w:r>
          </w:p>
        </w:tc>
        <w:tc>
          <w:tcPr>
            <w:tcW w:w="3005" w:type="dxa"/>
            <w:vAlign w:val="top"/>
          </w:tcPr>
          <w:p w14:paraId="3618F5AC"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A106D1">
              <w:rPr>
                <w:sz w:val="20"/>
                <w:szCs w:val="20"/>
              </w:rPr>
              <w:t>Develop innovations that support high</w:t>
            </w:r>
            <w:r w:rsidRPr="00772211">
              <w:rPr>
                <w:sz w:val="20"/>
                <w:szCs w:val="20"/>
              </w:rPr>
              <w:t xml:space="preserve"> </w:t>
            </w:r>
            <w:r w:rsidRPr="00A106D1">
              <w:rPr>
                <w:sz w:val="20"/>
                <w:szCs w:val="20"/>
              </w:rPr>
              <w:t>throughput</w:t>
            </w:r>
            <w:r w:rsidRPr="00772211">
              <w:rPr>
                <w:sz w:val="20"/>
                <w:szCs w:val="20"/>
              </w:rPr>
              <w:t xml:space="preserve"> </w:t>
            </w:r>
            <w:r w:rsidRPr="00A106D1">
              <w:rPr>
                <w:sz w:val="20"/>
                <w:szCs w:val="20"/>
              </w:rPr>
              <w:t>methods to produce higher</w:t>
            </w:r>
            <w:r w:rsidRPr="00772211">
              <w:rPr>
                <w:sz w:val="20"/>
                <w:szCs w:val="20"/>
              </w:rPr>
              <w:t xml:space="preserve"> </w:t>
            </w:r>
            <w:r w:rsidRPr="00A106D1">
              <w:rPr>
                <w:sz w:val="20"/>
                <w:szCs w:val="20"/>
              </w:rPr>
              <w:t>volumes of diverse</w:t>
            </w:r>
            <w:r w:rsidRPr="00772211">
              <w:rPr>
                <w:sz w:val="20"/>
                <w:szCs w:val="20"/>
              </w:rPr>
              <w:t xml:space="preserve"> </w:t>
            </w:r>
            <w:r w:rsidRPr="00A106D1">
              <w:rPr>
                <w:sz w:val="20"/>
                <w:szCs w:val="20"/>
              </w:rPr>
              <w:t>pharmaceutical</w:t>
            </w:r>
            <w:r w:rsidRPr="00772211">
              <w:rPr>
                <w:sz w:val="20"/>
                <w:szCs w:val="20"/>
              </w:rPr>
              <w:t xml:space="preserve"> products.</w:t>
            </w:r>
          </w:p>
        </w:tc>
        <w:tc>
          <w:tcPr>
            <w:tcW w:w="3006" w:type="dxa"/>
            <w:vAlign w:val="top"/>
          </w:tcPr>
          <w:p w14:paraId="76959974"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787340">
              <w:rPr>
                <w:sz w:val="20"/>
                <w:szCs w:val="20"/>
              </w:rPr>
              <w:t>Expand availability of novel</w:t>
            </w:r>
            <w:r w:rsidRPr="00772211">
              <w:rPr>
                <w:sz w:val="20"/>
                <w:szCs w:val="20"/>
              </w:rPr>
              <w:t xml:space="preserve"> </w:t>
            </w:r>
            <w:r w:rsidRPr="00787340">
              <w:rPr>
                <w:sz w:val="20"/>
                <w:szCs w:val="20"/>
              </w:rPr>
              <w:t>therapeutics and medicines</w:t>
            </w:r>
            <w:r w:rsidRPr="00772211">
              <w:rPr>
                <w:sz w:val="20"/>
                <w:szCs w:val="20"/>
              </w:rPr>
              <w:t xml:space="preserve"> </w:t>
            </w:r>
            <w:r w:rsidRPr="00787340">
              <w:rPr>
                <w:sz w:val="20"/>
                <w:szCs w:val="20"/>
              </w:rPr>
              <w:t>across Australia and support</w:t>
            </w:r>
            <w:r w:rsidRPr="00772211">
              <w:rPr>
                <w:sz w:val="20"/>
                <w:szCs w:val="20"/>
              </w:rPr>
              <w:t xml:space="preserve"> </w:t>
            </w:r>
            <w:r w:rsidRPr="00787340">
              <w:rPr>
                <w:sz w:val="20"/>
                <w:szCs w:val="20"/>
              </w:rPr>
              <w:t>the development of domestic</w:t>
            </w:r>
            <w:r w:rsidRPr="00772211">
              <w:rPr>
                <w:sz w:val="20"/>
                <w:szCs w:val="20"/>
              </w:rPr>
              <w:t xml:space="preserve"> pharmaceuticals manufacturing.</w:t>
            </w:r>
          </w:p>
        </w:tc>
      </w:tr>
      <w:tr w:rsidR="003B0525" w14:paraId="132021E0" w14:textId="77777777" w:rsidTr="00BF4F22">
        <w:trPr>
          <w:trHeight w:val="2014"/>
        </w:trPr>
        <w:tc>
          <w:tcPr>
            <w:cnfStyle w:val="001000000000" w:firstRow="0" w:lastRow="0" w:firstColumn="1" w:lastColumn="0" w:oddVBand="0" w:evenVBand="0" w:oddHBand="0" w:evenHBand="0" w:firstRowFirstColumn="0" w:firstRowLastColumn="0" w:lastRowFirstColumn="0" w:lastRowLastColumn="0"/>
            <w:tcW w:w="3005" w:type="dxa"/>
            <w:vAlign w:val="top"/>
          </w:tcPr>
          <w:p w14:paraId="2A760F99" w14:textId="77777777" w:rsidR="003B0525" w:rsidRPr="00772211" w:rsidRDefault="003B0525" w:rsidP="00BF4F22">
            <w:pPr>
              <w:rPr>
                <w:sz w:val="20"/>
                <w:szCs w:val="20"/>
              </w:rPr>
            </w:pPr>
            <w:r w:rsidRPr="004E059B">
              <w:rPr>
                <w:sz w:val="20"/>
                <w:szCs w:val="20"/>
              </w:rPr>
              <w:t>Metal powders for additive</w:t>
            </w:r>
            <w:r w:rsidRPr="00772211">
              <w:rPr>
                <w:sz w:val="20"/>
                <w:szCs w:val="20"/>
              </w:rPr>
              <w:t xml:space="preserve"> </w:t>
            </w:r>
            <w:r w:rsidRPr="004E059B">
              <w:rPr>
                <w:sz w:val="20"/>
                <w:szCs w:val="20"/>
              </w:rPr>
              <w:t>manufacturing, (3D printing,</w:t>
            </w:r>
            <w:r w:rsidRPr="00772211">
              <w:rPr>
                <w:sz w:val="20"/>
                <w:szCs w:val="20"/>
              </w:rPr>
              <w:t xml:space="preserve"> </w:t>
            </w:r>
            <w:r w:rsidRPr="004E059B">
              <w:rPr>
                <w:sz w:val="20"/>
                <w:szCs w:val="20"/>
              </w:rPr>
              <w:t>thermal and cold spray coating) are</w:t>
            </w:r>
            <w:r w:rsidRPr="00772211">
              <w:rPr>
                <w:sz w:val="20"/>
                <w:szCs w:val="20"/>
              </w:rPr>
              <w:t xml:space="preserve"> </w:t>
            </w:r>
            <w:r w:rsidRPr="004E059B">
              <w:rPr>
                <w:sz w:val="20"/>
                <w:szCs w:val="20"/>
              </w:rPr>
              <w:t>all imported and expensive. Prices</w:t>
            </w:r>
            <w:r w:rsidRPr="00772211">
              <w:rPr>
                <w:sz w:val="20"/>
                <w:szCs w:val="20"/>
              </w:rPr>
              <w:t xml:space="preserve"> </w:t>
            </w:r>
            <w:r w:rsidRPr="004E059B">
              <w:rPr>
                <w:sz w:val="20"/>
                <w:szCs w:val="20"/>
              </w:rPr>
              <w:t>can be over $100 per kilogram and</w:t>
            </w:r>
            <w:r w:rsidRPr="00772211">
              <w:rPr>
                <w:sz w:val="20"/>
                <w:szCs w:val="20"/>
              </w:rPr>
              <w:t xml:space="preserve"> up to $3,000 per kilogram.</w:t>
            </w:r>
          </w:p>
        </w:tc>
        <w:tc>
          <w:tcPr>
            <w:tcW w:w="3005" w:type="dxa"/>
            <w:vAlign w:val="top"/>
          </w:tcPr>
          <w:p w14:paraId="0E4134CE"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016893">
              <w:rPr>
                <w:sz w:val="20"/>
                <w:szCs w:val="20"/>
              </w:rPr>
              <w:t>Create locally deployable processes</w:t>
            </w:r>
            <w:r w:rsidRPr="00772211">
              <w:rPr>
                <w:sz w:val="20"/>
                <w:szCs w:val="20"/>
              </w:rPr>
              <w:t xml:space="preserve"> </w:t>
            </w:r>
            <w:r w:rsidRPr="00016893">
              <w:rPr>
                <w:sz w:val="20"/>
                <w:szCs w:val="20"/>
              </w:rPr>
              <w:t>to produce additive manufacturing</w:t>
            </w:r>
            <w:r w:rsidRPr="00772211">
              <w:rPr>
                <w:sz w:val="20"/>
                <w:szCs w:val="20"/>
              </w:rPr>
              <w:t xml:space="preserve"> </w:t>
            </w:r>
            <w:r w:rsidRPr="00016893">
              <w:rPr>
                <w:sz w:val="20"/>
                <w:szCs w:val="20"/>
              </w:rPr>
              <w:t>inputs and/or improvements to existing</w:t>
            </w:r>
            <w:r w:rsidRPr="00772211">
              <w:rPr>
                <w:sz w:val="20"/>
                <w:szCs w:val="20"/>
              </w:rPr>
              <w:t xml:space="preserve"> </w:t>
            </w:r>
            <w:r w:rsidRPr="00016893">
              <w:rPr>
                <w:sz w:val="20"/>
                <w:szCs w:val="20"/>
              </w:rPr>
              <w:t>processes (e.g. particle size and geometry</w:t>
            </w:r>
            <w:r w:rsidRPr="00772211">
              <w:rPr>
                <w:sz w:val="20"/>
                <w:szCs w:val="20"/>
              </w:rPr>
              <w:t xml:space="preserve"> </w:t>
            </w:r>
            <w:r w:rsidRPr="00016893">
              <w:rPr>
                <w:sz w:val="20"/>
                <w:szCs w:val="20"/>
              </w:rPr>
              <w:t>optimisation for the CSIRO titanium</w:t>
            </w:r>
            <w:r w:rsidRPr="00772211">
              <w:rPr>
                <w:sz w:val="20"/>
                <w:szCs w:val="20"/>
              </w:rPr>
              <w:t xml:space="preserve"> powder from ore (TIRO) process).</w:t>
            </w:r>
          </w:p>
        </w:tc>
        <w:tc>
          <w:tcPr>
            <w:tcW w:w="3006" w:type="dxa"/>
            <w:vAlign w:val="top"/>
          </w:tcPr>
          <w:p w14:paraId="76937C9A"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CF7E10">
              <w:rPr>
                <w:sz w:val="20"/>
                <w:szCs w:val="20"/>
              </w:rPr>
              <w:t>Enable more cost-effective additive</w:t>
            </w:r>
            <w:r w:rsidRPr="00772211">
              <w:rPr>
                <w:sz w:val="20"/>
                <w:szCs w:val="20"/>
              </w:rPr>
              <w:t xml:space="preserve"> </w:t>
            </w:r>
            <w:r w:rsidRPr="00CF7E10">
              <w:rPr>
                <w:sz w:val="20"/>
                <w:szCs w:val="20"/>
              </w:rPr>
              <w:t>manufacturing with consistent</w:t>
            </w:r>
            <w:r w:rsidRPr="00772211">
              <w:rPr>
                <w:sz w:val="20"/>
                <w:szCs w:val="20"/>
              </w:rPr>
              <w:t xml:space="preserve"> quality through local supply chains.</w:t>
            </w:r>
          </w:p>
        </w:tc>
      </w:tr>
      <w:tr w:rsidR="003B0525" w14:paraId="7149D19C" w14:textId="77777777" w:rsidTr="00BF4F22">
        <w:trPr>
          <w:trHeight w:val="1380"/>
        </w:trPr>
        <w:tc>
          <w:tcPr>
            <w:cnfStyle w:val="001000000000" w:firstRow="0" w:lastRow="0" w:firstColumn="1" w:lastColumn="0" w:oddVBand="0" w:evenVBand="0" w:oddHBand="0" w:evenHBand="0" w:firstRowFirstColumn="0" w:firstRowLastColumn="0" w:lastRowFirstColumn="0" w:lastRowLastColumn="0"/>
            <w:tcW w:w="3005" w:type="dxa"/>
            <w:vAlign w:val="top"/>
          </w:tcPr>
          <w:p w14:paraId="52C040A7" w14:textId="77777777" w:rsidR="003B0525" w:rsidRPr="00772211" w:rsidRDefault="003B0525" w:rsidP="00BF4F22">
            <w:pPr>
              <w:rPr>
                <w:sz w:val="20"/>
                <w:szCs w:val="20"/>
              </w:rPr>
            </w:pPr>
            <w:r w:rsidRPr="00121AE0">
              <w:rPr>
                <w:sz w:val="20"/>
                <w:szCs w:val="20"/>
              </w:rPr>
              <w:t>Coatings for improving wear and</w:t>
            </w:r>
            <w:r w:rsidRPr="00772211">
              <w:rPr>
                <w:sz w:val="20"/>
                <w:szCs w:val="20"/>
              </w:rPr>
              <w:t xml:space="preserve"> corrosion resistance.</w:t>
            </w:r>
          </w:p>
        </w:tc>
        <w:tc>
          <w:tcPr>
            <w:tcW w:w="3005" w:type="dxa"/>
            <w:vAlign w:val="top"/>
          </w:tcPr>
          <w:p w14:paraId="347D1BF0"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7D4DFD">
              <w:rPr>
                <w:sz w:val="20"/>
                <w:szCs w:val="20"/>
              </w:rPr>
              <w:t>Develop technologies to</w:t>
            </w:r>
            <w:r w:rsidRPr="00772211">
              <w:rPr>
                <w:sz w:val="20"/>
                <w:szCs w:val="20"/>
              </w:rPr>
              <w:t xml:space="preserve"> </w:t>
            </w:r>
            <w:r w:rsidRPr="007D4DFD">
              <w:rPr>
                <w:sz w:val="20"/>
                <w:szCs w:val="20"/>
              </w:rPr>
              <w:t>employ newly</w:t>
            </w:r>
            <w:r w:rsidRPr="00772211">
              <w:rPr>
                <w:sz w:val="20"/>
                <w:szCs w:val="20"/>
              </w:rPr>
              <w:t xml:space="preserve"> </w:t>
            </w:r>
            <w:r w:rsidRPr="007D4DFD">
              <w:rPr>
                <w:sz w:val="20"/>
                <w:szCs w:val="20"/>
              </w:rPr>
              <w:t>developed materials with superior</w:t>
            </w:r>
            <w:r w:rsidRPr="00772211">
              <w:rPr>
                <w:sz w:val="20"/>
                <w:szCs w:val="20"/>
              </w:rPr>
              <w:t xml:space="preserve"> </w:t>
            </w:r>
            <w:r w:rsidRPr="007D4DFD">
              <w:rPr>
                <w:sz w:val="20"/>
                <w:szCs w:val="20"/>
              </w:rPr>
              <w:t>properties such as high</w:t>
            </w:r>
            <w:r w:rsidRPr="00772211">
              <w:rPr>
                <w:sz w:val="20"/>
                <w:szCs w:val="20"/>
              </w:rPr>
              <w:t>-</w:t>
            </w:r>
            <w:r w:rsidRPr="007D4DFD">
              <w:rPr>
                <w:sz w:val="20"/>
                <w:szCs w:val="20"/>
              </w:rPr>
              <w:t>entropy alloys in</w:t>
            </w:r>
            <w:r w:rsidRPr="00772211">
              <w:rPr>
                <w:sz w:val="20"/>
                <w:szCs w:val="20"/>
              </w:rPr>
              <w:t xml:space="preserve"> additive manufacturing processes.</w:t>
            </w:r>
          </w:p>
        </w:tc>
        <w:tc>
          <w:tcPr>
            <w:tcW w:w="3006" w:type="dxa"/>
            <w:vAlign w:val="top"/>
          </w:tcPr>
          <w:p w14:paraId="3EA594CA"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890621">
              <w:rPr>
                <w:sz w:val="20"/>
                <w:szCs w:val="20"/>
              </w:rPr>
              <w:t>Improved lifetimes and reduced</w:t>
            </w:r>
            <w:r w:rsidRPr="00772211">
              <w:rPr>
                <w:sz w:val="20"/>
                <w:szCs w:val="20"/>
              </w:rPr>
              <w:t xml:space="preserve"> </w:t>
            </w:r>
            <w:r w:rsidRPr="00890621">
              <w:rPr>
                <w:sz w:val="20"/>
                <w:szCs w:val="20"/>
              </w:rPr>
              <w:t>maintenance for infrastructure</w:t>
            </w:r>
            <w:r w:rsidRPr="00772211">
              <w:rPr>
                <w:sz w:val="20"/>
                <w:szCs w:val="20"/>
              </w:rPr>
              <w:t xml:space="preserve"> </w:t>
            </w:r>
            <w:r w:rsidRPr="00890621">
              <w:rPr>
                <w:sz w:val="20"/>
                <w:szCs w:val="20"/>
              </w:rPr>
              <w:t>and equipment in demanding</w:t>
            </w:r>
            <w:r w:rsidRPr="00772211">
              <w:rPr>
                <w:sz w:val="20"/>
                <w:szCs w:val="20"/>
              </w:rPr>
              <w:t xml:space="preserve"> environments.</w:t>
            </w:r>
          </w:p>
        </w:tc>
      </w:tr>
      <w:tr w:rsidR="003B0525" w14:paraId="0C53756A" w14:textId="77777777" w:rsidTr="00BF4F22">
        <w:trPr>
          <w:trHeight w:val="1856"/>
        </w:trPr>
        <w:tc>
          <w:tcPr>
            <w:cnfStyle w:val="001000000000" w:firstRow="0" w:lastRow="0" w:firstColumn="1" w:lastColumn="0" w:oddVBand="0" w:evenVBand="0" w:oddHBand="0" w:evenHBand="0" w:firstRowFirstColumn="0" w:firstRowLastColumn="0" w:lastRowFirstColumn="0" w:lastRowLastColumn="0"/>
            <w:tcW w:w="3005" w:type="dxa"/>
            <w:vAlign w:val="top"/>
          </w:tcPr>
          <w:p w14:paraId="37FB51C5" w14:textId="77777777" w:rsidR="003B0525" w:rsidRPr="00772211" w:rsidRDefault="003B0525" w:rsidP="00BF4F22">
            <w:pPr>
              <w:rPr>
                <w:sz w:val="20"/>
                <w:szCs w:val="20"/>
              </w:rPr>
            </w:pPr>
            <w:r w:rsidRPr="006A6FED">
              <w:rPr>
                <w:sz w:val="20"/>
                <w:szCs w:val="20"/>
              </w:rPr>
              <w:t>Space infrastructure components</w:t>
            </w:r>
            <w:r w:rsidRPr="00772211">
              <w:rPr>
                <w:sz w:val="20"/>
                <w:szCs w:val="20"/>
              </w:rPr>
              <w:t xml:space="preserve"> </w:t>
            </w:r>
            <w:r w:rsidRPr="006A6FED">
              <w:rPr>
                <w:sz w:val="20"/>
                <w:szCs w:val="20"/>
              </w:rPr>
              <w:t>face high risk of component failure</w:t>
            </w:r>
            <w:r w:rsidRPr="00772211">
              <w:rPr>
                <w:sz w:val="20"/>
                <w:szCs w:val="20"/>
              </w:rPr>
              <w:t xml:space="preserve"> </w:t>
            </w:r>
            <w:r w:rsidRPr="006A6FED">
              <w:rPr>
                <w:sz w:val="20"/>
                <w:szCs w:val="20"/>
              </w:rPr>
              <w:t>due to</w:t>
            </w:r>
            <w:r w:rsidRPr="00772211">
              <w:rPr>
                <w:sz w:val="20"/>
                <w:szCs w:val="20"/>
              </w:rPr>
              <w:t xml:space="preserve"> </w:t>
            </w:r>
            <w:r w:rsidRPr="006A6FED">
              <w:rPr>
                <w:sz w:val="20"/>
                <w:szCs w:val="20"/>
              </w:rPr>
              <w:t>factors such as thermal</w:t>
            </w:r>
            <w:r w:rsidRPr="00772211">
              <w:rPr>
                <w:sz w:val="20"/>
                <w:szCs w:val="20"/>
              </w:rPr>
              <w:t xml:space="preserve"> intolerance.</w:t>
            </w:r>
          </w:p>
        </w:tc>
        <w:tc>
          <w:tcPr>
            <w:tcW w:w="3005" w:type="dxa"/>
            <w:vAlign w:val="top"/>
          </w:tcPr>
          <w:p w14:paraId="3F7CD566"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0026BC">
              <w:rPr>
                <w:sz w:val="20"/>
                <w:szCs w:val="20"/>
              </w:rPr>
              <w:t>Leveraging Australia’s additive</w:t>
            </w:r>
            <w:r w:rsidRPr="00772211">
              <w:rPr>
                <w:sz w:val="20"/>
                <w:szCs w:val="20"/>
              </w:rPr>
              <w:t xml:space="preserve"> </w:t>
            </w:r>
            <w:r w:rsidRPr="000026BC">
              <w:rPr>
                <w:sz w:val="20"/>
                <w:szCs w:val="20"/>
              </w:rPr>
              <w:t>manufacturing capability to</w:t>
            </w:r>
            <w:r w:rsidRPr="00772211">
              <w:rPr>
                <w:sz w:val="20"/>
                <w:szCs w:val="20"/>
              </w:rPr>
              <w:t xml:space="preserve"> </w:t>
            </w:r>
            <w:r w:rsidRPr="000026BC">
              <w:rPr>
                <w:sz w:val="20"/>
                <w:szCs w:val="20"/>
              </w:rPr>
              <w:t>build more</w:t>
            </w:r>
            <w:r w:rsidRPr="00772211">
              <w:rPr>
                <w:sz w:val="20"/>
                <w:szCs w:val="20"/>
              </w:rPr>
              <w:t xml:space="preserve"> </w:t>
            </w:r>
            <w:r w:rsidRPr="000026BC">
              <w:rPr>
                <w:sz w:val="20"/>
                <w:szCs w:val="20"/>
              </w:rPr>
              <w:t>efficient and</w:t>
            </w:r>
            <w:r w:rsidRPr="00772211">
              <w:rPr>
                <w:sz w:val="20"/>
                <w:szCs w:val="20"/>
              </w:rPr>
              <w:t xml:space="preserve"> </w:t>
            </w:r>
            <w:r w:rsidRPr="000026BC">
              <w:rPr>
                <w:sz w:val="20"/>
                <w:szCs w:val="20"/>
              </w:rPr>
              <w:t>reliable components for</w:t>
            </w:r>
            <w:r w:rsidRPr="00772211">
              <w:rPr>
                <w:sz w:val="20"/>
                <w:szCs w:val="20"/>
              </w:rPr>
              <w:t xml:space="preserve"> space infrastructure and systems.</w:t>
            </w:r>
          </w:p>
        </w:tc>
        <w:tc>
          <w:tcPr>
            <w:tcW w:w="3006" w:type="dxa"/>
            <w:vAlign w:val="top"/>
          </w:tcPr>
          <w:p w14:paraId="331373EF" w14:textId="77777777" w:rsidR="003B0525" w:rsidRPr="00772211" w:rsidRDefault="003B0525" w:rsidP="00BF4F22">
            <w:pPr>
              <w:cnfStyle w:val="000000000000" w:firstRow="0" w:lastRow="0" w:firstColumn="0" w:lastColumn="0" w:oddVBand="0" w:evenVBand="0" w:oddHBand="0" w:evenHBand="0" w:firstRowFirstColumn="0" w:firstRowLastColumn="0" w:lastRowFirstColumn="0" w:lastRowLastColumn="0"/>
              <w:rPr>
                <w:sz w:val="20"/>
                <w:szCs w:val="20"/>
              </w:rPr>
            </w:pPr>
            <w:r w:rsidRPr="00A1239A">
              <w:rPr>
                <w:sz w:val="20"/>
                <w:szCs w:val="20"/>
              </w:rPr>
              <w:t>Rapid and precise manufacture of</w:t>
            </w:r>
            <w:r w:rsidRPr="00772211">
              <w:rPr>
                <w:sz w:val="20"/>
                <w:szCs w:val="20"/>
              </w:rPr>
              <w:t xml:space="preserve"> </w:t>
            </w:r>
            <w:r w:rsidRPr="00A1239A">
              <w:rPr>
                <w:sz w:val="20"/>
                <w:szCs w:val="20"/>
              </w:rPr>
              <w:t>reliable and tolerant components for</w:t>
            </w:r>
            <w:r w:rsidRPr="00772211">
              <w:rPr>
                <w:sz w:val="20"/>
                <w:szCs w:val="20"/>
              </w:rPr>
              <w:t xml:space="preserve"> </w:t>
            </w:r>
            <w:r w:rsidRPr="00A1239A">
              <w:rPr>
                <w:sz w:val="20"/>
                <w:szCs w:val="20"/>
              </w:rPr>
              <w:t>the space industry while also helping</w:t>
            </w:r>
            <w:r w:rsidRPr="00772211">
              <w:rPr>
                <w:sz w:val="20"/>
                <w:szCs w:val="20"/>
              </w:rPr>
              <w:t xml:space="preserve"> </w:t>
            </w:r>
            <w:r w:rsidRPr="00A1239A">
              <w:rPr>
                <w:sz w:val="20"/>
                <w:szCs w:val="20"/>
              </w:rPr>
              <w:t>to expand Australia’s intelligence,</w:t>
            </w:r>
            <w:r w:rsidRPr="00772211">
              <w:rPr>
                <w:sz w:val="20"/>
                <w:szCs w:val="20"/>
              </w:rPr>
              <w:t xml:space="preserve"> </w:t>
            </w:r>
            <w:r w:rsidRPr="00A1239A">
              <w:rPr>
                <w:sz w:val="20"/>
                <w:szCs w:val="20"/>
              </w:rPr>
              <w:t>surveillance, reconnaissance, and</w:t>
            </w:r>
            <w:r w:rsidRPr="00772211">
              <w:rPr>
                <w:sz w:val="20"/>
                <w:szCs w:val="20"/>
              </w:rPr>
              <w:t xml:space="preserve"> climate observation capabilities.</w:t>
            </w:r>
          </w:p>
        </w:tc>
      </w:tr>
    </w:tbl>
    <w:p w14:paraId="78CC11F6" w14:textId="77777777" w:rsidR="003B0525" w:rsidRDefault="003B0525" w:rsidP="001A3B28">
      <w:pPr>
        <w:pStyle w:val="ListNumber4"/>
        <w:numPr>
          <w:ilvl w:val="0"/>
          <w:numId w:val="0"/>
        </w:numPr>
      </w:pPr>
    </w:p>
    <w:p w14:paraId="47D9FBE2" w14:textId="77777777" w:rsidR="003B0525" w:rsidRPr="00C2482C" w:rsidRDefault="003B0525" w:rsidP="003B0525">
      <w:pPr>
        <w:pStyle w:val="Heading2"/>
        <w:spacing w:before="240"/>
      </w:pPr>
      <w:r w:rsidRPr="00C2482C">
        <w:t xml:space="preserve">Other public investment options </w:t>
      </w:r>
    </w:p>
    <w:p w14:paraId="10A0EE23" w14:textId="77777777" w:rsidR="003B0525" w:rsidRPr="00222037" w:rsidRDefault="00C97261" w:rsidP="003B0525">
      <w:pPr>
        <w:pStyle w:val="ListBullet"/>
        <w:ind w:left="360" w:hanging="360"/>
        <w:rPr>
          <w:color w:val="215E9F"/>
          <w:u w:val="single"/>
        </w:rPr>
      </w:pPr>
      <w:hyperlink r:id="rId114" w:history="1">
        <w:r w:rsidR="003B0525" w:rsidRPr="00232CAF">
          <w:rPr>
            <w:rStyle w:val="Hyperlink"/>
            <w:color w:val="215E9F"/>
          </w:rPr>
          <w:t>ARENA and the Future Made in Australia Innovation Fund</w:t>
        </w:r>
      </w:hyperlink>
    </w:p>
    <w:p w14:paraId="08DC70D0" w14:textId="77777777" w:rsidR="003B0525" w:rsidRPr="00222037" w:rsidRDefault="00C97261" w:rsidP="003B0525">
      <w:pPr>
        <w:pStyle w:val="ListBullet"/>
        <w:ind w:left="360" w:hanging="360"/>
        <w:rPr>
          <w:color w:val="215E9F"/>
          <w:u w:val="single"/>
        </w:rPr>
      </w:pPr>
      <w:hyperlink r:id="rId115" w:history="1">
        <w:r w:rsidR="003B0525" w:rsidRPr="00232CAF">
          <w:rPr>
            <w:rStyle w:val="Hyperlink"/>
            <w:color w:val="215E9F"/>
          </w:rPr>
          <w:t>The National Reconstruction Fund</w:t>
        </w:r>
      </w:hyperlink>
    </w:p>
    <w:p w14:paraId="5416D5A1" w14:textId="6EEDFEF2" w:rsidR="00726F51" w:rsidRPr="003B0525" w:rsidRDefault="00C97261" w:rsidP="00073516">
      <w:pPr>
        <w:pStyle w:val="ListBullet"/>
        <w:ind w:left="360" w:hanging="360"/>
        <w:rPr>
          <w:color w:val="215E9F"/>
          <w:u w:val="single"/>
        </w:rPr>
      </w:pPr>
      <w:hyperlink r:id="rId116" w:history="1">
        <w:r w:rsidR="003B0525" w:rsidRPr="00232CAF">
          <w:rPr>
            <w:rStyle w:val="Hyperlink"/>
            <w:color w:val="215E9F"/>
          </w:rPr>
          <w:t>Industry Growth Program</w:t>
        </w:r>
      </w:hyperlink>
    </w:p>
    <w:sectPr w:rsidR="00726F51" w:rsidRPr="003B0525" w:rsidSect="00073516">
      <w:pgSz w:w="11906" w:h="16838"/>
      <w:pgMar w:top="22"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AD8DA" w14:textId="77777777" w:rsidR="002C1EEB" w:rsidRDefault="002C1EEB" w:rsidP="000A6228">
      <w:pPr>
        <w:spacing w:after="0" w:line="240" w:lineRule="auto"/>
      </w:pPr>
      <w:r>
        <w:separator/>
      </w:r>
    </w:p>
  </w:endnote>
  <w:endnote w:type="continuationSeparator" w:id="0">
    <w:p w14:paraId="4DBE4AC6" w14:textId="77777777" w:rsidR="002C1EEB" w:rsidRDefault="002C1EEB" w:rsidP="000A6228">
      <w:pPr>
        <w:spacing w:after="0" w:line="240" w:lineRule="auto"/>
      </w:pPr>
      <w:r>
        <w:continuationSeparator/>
      </w:r>
    </w:p>
  </w:endnote>
  <w:endnote w:type="continuationNotice" w:id="1">
    <w:p w14:paraId="09785ECE" w14:textId="77777777" w:rsidR="002C1EEB" w:rsidRDefault="002C1E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Inter ExtraBold">
    <w:altName w:val="Calibri"/>
    <w:charset w:val="00"/>
    <w:family w:val="auto"/>
    <w:pitch w:val="variable"/>
    <w:sig w:usb0="E00002FF" w:usb1="1200A1FF" w:usb2="00000001" w:usb3="00000000" w:csb0="0000019F" w:csb1="00000000"/>
  </w:font>
  <w:font w:name="Inter-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BC1D0C6" w14:paraId="3F243B3E" w14:textId="77777777" w:rsidTr="00D56716">
      <w:trPr>
        <w:trHeight w:val="300"/>
      </w:trPr>
      <w:tc>
        <w:tcPr>
          <w:tcW w:w="3005" w:type="dxa"/>
        </w:tcPr>
        <w:p w14:paraId="09F38FB3" w14:textId="0E971B35" w:rsidR="3BC1D0C6" w:rsidRDefault="3BC1D0C6" w:rsidP="00D56716">
          <w:pPr>
            <w:pStyle w:val="Header"/>
            <w:ind w:left="-115"/>
          </w:pPr>
        </w:p>
      </w:tc>
      <w:tc>
        <w:tcPr>
          <w:tcW w:w="3005" w:type="dxa"/>
        </w:tcPr>
        <w:p w14:paraId="513494D5" w14:textId="51291D82" w:rsidR="3BC1D0C6" w:rsidRDefault="3BC1D0C6" w:rsidP="00D56716">
          <w:pPr>
            <w:pStyle w:val="Header"/>
            <w:jc w:val="center"/>
          </w:pPr>
        </w:p>
      </w:tc>
      <w:tc>
        <w:tcPr>
          <w:tcW w:w="3005" w:type="dxa"/>
        </w:tcPr>
        <w:p w14:paraId="2D76DBB7" w14:textId="72F5D7F1" w:rsidR="3BC1D0C6" w:rsidRDefault="3BC1D0C6" w:rsidP="00D56716">
          <w:pPr>
            <w:pStyle w:val="Header"/>
            <w:ind w:right="-115"/>
            <w:jc w:val="right"/>
          </w:pPr>
        </w:p>
      </w:tc>
    </w:tr>
  </w:tbl>
  <w:p w14:paraId="2233B282" w14:textId="5F578DDA" w:rsidR="3BC1D0C6" w:rsidRDefault="3BC1D0C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9878E" w14:textId="77777777" w:rsidR="00C97261" w:rsidRDefault="00C97261">
    <w:pPr>
      <w:pStyle w:val="Footer"/>
    </w:pPr>
    <w:r>
      <w:rPr>
        <w:noProof/>
      </w:rPr>
      <w:drawing>
        <wp:anchor distT="0" distB="0" distL="114300" distR="114300" simplePos="0" relativeHeight="251655680" behindDoc="1" locked="1" layoutInCell="1" allowOverlap="1" wp14:anchorId="1E9234CE" wp14:editId="6A007B54">
          <wp:simplePos x="0" y="0"/>
          <wp:positionH relativeFrom="page">
            <wp:align>right</wp:align>
          </wp:positionH>
          <wp:positionV relativeFrom="page">
            <wp:align>bottom</wp:align>
          </wp:positionV>
          <wp:extent cx="8023225" cy="495300"/>
          <wp:effectExtent l="0" t="0" r="0" b="0"/>
          <wp:wrapNone/>
          <wp:docPr id="1377127182" name="Picture 1377127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023225" cy="4953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EA8D3" w14:textId="49470B26" w:rsidR="008D62FE" w:rsidRDefault="008D6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BC1D0C6" w14:paraId="7343E203" w14:textId="77777777" w:rsidTr="00D56716">
      <w:trPr>
        <w:trHeight w:val="300"/>
      </w:trPr>
      <w:tc>
        <w:tcPr>
          <w:tcW w:w="3005" w:type="dxa"/>
        </w:tcPr>
        <w:p w14:paraId="5223F107" w14:textId="3B676235" w:rsidR="3BC1D0C6" w:rsidRDefault="3BC1D0C6" w:rsidP="00D56716">
          <w:pPr>
            <w:pStyle w:val="Header"/>
            <w:ind w:left="-115"/>
          </w:pPr>
        </w:p>
      </w:tc>
      <w:tc>
        <w:tcPr>
          <w:tcW w:w="3005" w:type="dxa"/>
        </w:tcPr>
        <w:p w14:paraId="55126BDA" w14:textId="6FFF64A7" w:rsidR="3BC1D0C6" w:rsidRDefault="3BC1D0C6" w:rsidP="00D56716">
          <w:pPr>
            <w:pStyle w:val="Header"/>
            <w:jc w:val="center"/>
          </w:pPr>
        </w:p>
      </w:tc>
      <w:tc>
        <w:tcPr>
          <w:tcW w:w="3005" w:type="dxa"/>
        </w:tcPr>
        <w:p w14:paraId="27674204" w14:textId="398277AF" w:rsidR="3BC1D0C6" w:rsidRDefault="3BC1D0C6" w:rsidP="00D56716">
          <w:pPr>
            <w:pStyle w:val="Header"/>
            <w:ind w:right="-115"/>
            <w:jc w:val="right"/>
          </w:pPr>
        </w:p>
      </w:tc>
    </w:tr>
  </w:tbl>
  <w:p w14:paraId="05475440" w14:textId="73437AAA" w:rsidR="3BC1D0C6" w:rsidRDefault="3BC1D0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487C4" w14:textId="7F67D6B5" w:rsidR="008D62FE" w:rsidRDefault="008D62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896DA" w14:textId="5B6EF40A" w:rsidR="008D62FE" w:rsidRDefault="008D62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1257783"/>
      <w:docPartObj>
        <w:docPartGallery w:val="Page Numbers (Bottom of Page)"/>
        <w:docPartUnique/>
      </w:docPartObj>
    </w:sdtPr>
    <w:sdtEndPr>
      <w:rPr>
        <w:noProof/>
      </w:rPr>
    </w:sdtEndPr>
    <w:sdtContent>
      <w:p w14:paraId="0B09B7B8" w14:textId="309F6DDB" w:rsidR="00950C06" w:rsidRDefault="00950C06">
        <w:pPr>
          <w:pStyle w:val="Footer"/>
        </w:pPr>
        <w:r>
          <w:fldChar w:fldCharType="begin"/>
        </w:r>
        <w:r>
          <w:instrText xml:space="preserve"> PAGE   \* MERGEFORMAT </w:instrText>
        </w:r>
        <w:r>
          <w:fldChar w:fldCharType="separate"/>
        </w:r>
        <w:r>
          <w:rPr>
            <w:noProof/>
          </w:rPr>
          <w:t>2</w:t>
        </w:r>
        <w:r>
          <w:rPr>
            <w:noProof/>
          </w:rPr>
          <w:fldChar w:fldCharType="end"/>
        </w:r>
      </w:p>
    </w:sdtContent>
  </w:sdt>
  <w:p w14:paraId="7435E873" w14:textId="77777777" w:rsidR="00950C06" w:rsidRDefault="00950C0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67772" w14:textId="5130C2CC" w:rsidR="008D62FE" w:rsidRDefault="008D62F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6BBB1" w14:textId="77777777" w:rsidR="00C97261" w:rsidRDefault="00C97261">
    <w:pPr>
      <w:pStyle w:val="Footer"/>
    </w:pPr>
    <w:r>
      <w:rPr>
        <w:noProof/>
      </w:rPr>
      <w:drawing>
        <wp:anchor distT="0" distB="0" distL="114300" distR="114300" simplePos="0" relativeHeight="251653632" behindDoc="1" locked="1" layoutInCell="1" allowOverlap="1" wp14:anchorId="09AFE360" wp14:editId="3BB29DFC">
          <wp:simplePos x="0" y="0"/>
          <wp:positionH relativeFrom="page">
            <wp:align>right</wp:align>
          </wp:positionH>
          <wp:positionV relativeFrom="page">
            <wp:align>bottom</wp:align>
          </wp:positionV>
          <wp:extent cx="8023225" cy="4953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023225" cy="4953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4BA07" w14:textId="77777777" w:rsidR="00C97261" w:rsidRDefault="00C97261">
    <w:pPr>
      <w:pStyle w:val="Footer"/>
    </w:pPr>
    <w:r>
      <w:rPr>
        <w:noProof/>
      </w:rPr>
      <w:drawing>
        <wp:anchor distT="0" distB="0" distL="114300" distR="114300" simplePos="0" relativeHeight="251654656" behindDoc="1" locked="1" layoutInCell="1" allowOverlap="1" wp14:anchorId="64ED75A7" wp14:editId="04C77584">
          <wp:simplePos x="0" y="0"/>
          <wp:positionH relativeFrom="page">
            <wp:align>right</wp:align>
          </wp:positionH>
          <wp:positionV relativeFrom="page">
            <wp:align>bottom</wp:align>
          </wp:positionV>
          <wp:extent cx="8023225" cy="495300"/>
          <wp:effectExtent l="0" t="0" r="0" b="0"/>
          <wp:wrapNone/>
          <wp:docPr id="1782632612" name="Picture 17826326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023225" cy="4953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C5A30" w14:textId="77777777" w:rsidR="002C1EEB" w:rsidRDefault="002C1EEB" w:rsidP="000A6228">
      <w:pPr>
        <w:spacing w:after="0" w:line="240" w:lineRule="auto"/>
      </w:pPr>
      <w:r>
        <w:separator/>
      </w:r>
    </w:p>
  </w:footnote>
  <w:footnote w:type="continuationSeparator" w:id="0">
    <w:p w14:paraId="58D2BC10" w14:textId="77777777" w:rsidR="002C1EEB" w:rsidRDefault="002C1EEB" w:rsidP="000A6228">
      <w:pPr>
        <w:spacing w:after="0" w:line="240" w:lineRule="auto"/>
      </w:pPr>
      <w:r>
        <w:continuationSeparator/>
      </w:r>
    </w:p>
  </w:footnote>
  <w:footnote w:type="continuationNotice" w:id="1">
    <w:p w14:paraId="4BACBBEC" w14:textId="77777777" w:rsidR="002C1EEB" w:rsidRDefault="002C1EEB">
      <w:pPr>
        <w:spacing w:after="0" w:line="240" w:lineRule="auto"/>
      </w:pPr>
    </w:p>
  </w:footnote>
  <w:footnote w:id="2">
    <w:p w14:paraId="3871C259" w14:textId="77777777" w:rsidR="00202443" w:rsidRDefault="00202443" w:rsidP="003E0726">
      <w:pPr>
        <w:pStyle w:val="FootnoteText"/>
      </w:pPr>
      <w:r>
        <w:rPr>
          <w:rStyle w:val="FootnoteReference"/>
        </w:rPr>
        <w:footnoteRef/>
      </w:r>
      <w:r>
        <w:t xml:space="preserve"> </w:t>
      </w:r>
      <w:hyperlink r:id="rId1" w:history="1">
        <w:r w:rsidRPr="00546915">
          <w:rPr>
            <w:rStyle w:val="Hyperlink"/>
            <w:color w:val="215E9F"/>
            <w:kern w:val="0"/>
            <w14:ligatures w14:val="none"/>
          </w:rPr>
          <w:t>DISR 2023, Resources &amp; Energy Quarterly: December</w:t>
        </w:r>
      </w:hyperlink>
    </w:p>
  </w:footnote>
  <w:footnote w:id="3">
    <w:p w14:paraId="7F39915E" w14:textId="77777777" w:rsidR="00202443" w:rsidRPr="00546915" w:rsidRDefault="00202443" w:rsidP="003E0726">
      <w:pPr>
        <w:pStyle w:val="FootnoteText"/>
        <w:rPr>
          <w:color w:val="215E9F"/>
        </w:rPr>
      </w:pPr>
      <w:r>
        <w:rPr>
          <w:rStyle w:val="FootnoteReference"/>
        </w:rPr>
        <w:footnoteRef/>
      </w:r>
      <w:r>
        <w:t xml:space="preserve"> </w:t>
      </w:r>
      <w:hyperlink r:id="rId2" w:history="1">
        <w:r w:rsidRPr="00546915">
          <w:rPr>
            <w:rStyle w:val="Hyperlink"/>
            <w:color w:val="215E9F"/>
          </w:rPr>
          <w:t>DISR 2023, Resources &amp; Energy Quarterly: December</w:t>
        </w:r>
      </w:hyperlink>
    </w:p>
  </w:footnote>
  <w:footnote w:id="4">
    <w:p w14:paraId="5E8AB676" w14:textId="77777777" w:rsidR="00202443" w:rsidRDefault="00202443" w:rsidP="003E0726">
      <w:pPr>
        <w:pStyle w:val="FootnoteText"/>
      </w:pPr>
      <w:r>
        <w:rPr>
          <w:rStyle w:val="FootnoteReference"/>
        </w:rPr>
        <w:footnoteRef/>
      </w:r>
      <w:r>
        <w:t xml:space="preserve"> </w:t>
      </w:r>
      <w:hyperlink r:id="rId3" w:history="1">
        <w:r>
          <w:rPr>
            <w:rStyle w:val="Hyperlink"/>
            <w:kern w:val="0"/>
            <w14:ligatures w14:val="none"/>
          </w:rPr>
          <w:t>I</w:t>
        </w:r>
        <w:r w:rsidRPr="00546915">
          <w:rPr>
            <w:rStyle w:val="Hyperlink"/>
            <w:color w:val="215E9F"/>
            <w:kern w:val="0"/>
            <w14:ligatures w14:val="none"/>
          </w:rPr>
          <w:t>nternational Energy Agency 2023, Critical Minerals Market Review 2023</w:t>
        </w:r>
      </w:hyperlink>
    </w:p>
  </w:footnote>
  <w:footnote w:id="5">
    <w:p w14:paraId="039F9BAF" w14:textId="77777777" w:rsidR="00BA6AC7" w:rsidRPr="00504F48" w:rsidRDefault="00BA6AC7" w:rsidP="003E0726">
      <w:pPr>
        <w:pStyle w:val="FootnoteText"/>
        <w:rPr>
          <w:rFonts w:ascii="Calibri" w:hAnsi="Calibri" w:cs="Calibri"/>
        </w:rPr>
      </w:pPr>
      <w:r w:rsidRPr="00504F48">
        <w:rPr>
          <w:rStyle w:val="FootnoteReference"/>
          <w:rFonts w:ascii="Calibri" w:hAnsi="Calibri" w:cs="Calibri"/>
        </w:rPr>
        <w:footnoteRef/>
      </w:r>
      <w:r w:rsidRPr="00504F48">
        <w:rPr>
          <w:rFonts w:ascii="Calibri" w:hAnsi="Calibri" w:cs="Calibri"/>
        </w:rPr>
        <w:t xml:space="preserve"> </w:t>
      </w:r>
      <w:hyperlink r:id="rId4" w:history="1">
        <w:r w:rsidRPr="00697433">
          <w:rPr>
            <w:rStyle w:val="Hyperlink"/>
            <w:rFonts w:ascii="Calibri" w:hAnsi="Calibri" w:cs="Calibri"/>
            <w:color w:val="215E9F"/>
          </w:rPr>
          <w:t>DCCEEW 2022, State of Hydrogen 2022</w:t>
        </w:r>
      </w:hyperlink>
    </w:p>
  </w:footnote>
  <w:footnote w:id="6">
    <w:p w14:paraId="1D244BA3" w14:textId="77777777" w:rsidR="00BA6AC7" w:rsidRPr="00504F48" w:rsidRDefault="00BA6AC7" w:rsidP="003E0726">
      <w:pPr>
        <w:pStyle w:val="FootnoteText"/>
        <w:rPr>
          <w:rFonts w:ascii="Calibri" w:hAnsi="Calibri" w:cs="Calibri"/>
        </w:rPr>
      </w:pPr>
      <w:r w:rsidRPr="00504F48">
        <w:rPr>
          <w:rStyle w:val="FootnoteReference"/>
          <w:rFonts w:ascii="Calibri" w:hAnsi="Calibri" w:cs="Calibri"/>
        </w:rPr>
        <w:footnoteRef/>
      </w:r>
      <w:r w:rsidRPr="00504F48">
        <w:rPr>
          <w:rFonts w:ascii="Calibri" w:hAnsi="Calibri" w:cs="Calibri"/>
        </w:rPr>
        <w:t xml:space="preserve"> </w:t>
      </w:r>
      <w:hyperlink r:id="rId5" w:history="1">
        <w:r w:rsidRPr="00697433">
          <w:rPr>
            <w:rStyle w:val="Hyperlink"/>
            <w:rFonts w:ascii="Calibri" w:hAnsi="Calibri" w:cs="Calibri"/>
            <w:color w:val="215E9F"/>
          </w:rPr>
          <w:t>DCCEEW 2022, State of Hydrogen 2022</w:t>
        </w:r>
      </w:hyperlink>
    </w:p>
  </w:footnote>
  <w:footnote w:id="7">
    <w:p w14:paraId="1476757F" w14:textId="77777777" w:rsidR="00BA6AC7" w:rsidRPr="00697433" w:rsidRDefault="00BA6AC7">
      <w:pPr>
        <w:pStyle w:val="FootnoteText"/>
        <w:rPr>
          <w:rFonts w:ascii="Calibri" w:hAnsi="Calibri" w:cs="Calibri"/>
          <w:color w:val="215E9F"/>
        </w:rPr>
      </w:pPr>
      <w:r w:rsidRPr="00504F48">
        <w:rPr>
          <w:rStyle w:val="FootnoteReference"/>
          <w:rFonts w:ascii="Calibri" w:hAnsi="Calibri" w:cs="Calibri"/>
        </w:rPr>
        <w:footnoteRef/>
      </w:r>
      <w:r w:rsidRPr="00504F48">
        <w:rPr>
          <w:rFonts w:ascii="Calibri" w:hAnsi="Calibri" w:cs="Calibri"/>
        </w:rPr>
        <w:t xml:space="preserve"> </w:t>
      </w:r>
      <w:hyperlink r:id="rId6" w:history="1">
        <w:r w:rsidRPr="00697433">
          <w:rPr>
            <w:rStyle w:val="Hyperlink"/>
            <w:rFonts w:ascii="Calibri" w:hAnsi="Calibri" w:cs="Calibri"/>
            <w:color w:val="215E9F"/>
          </w:rPr>
          <w:t>International Energy Agency 2023, Renewables 2023</w:t>
        </w:r>
      </w:hyperlink>
    </w:p>
  </w:footnote>
  <w:footnote w:id="8">
    <w:p w14:paraId="1F865557" w14:textId="77777777" w:rsidR="00BA6AC7" w:rsidRPr="00697433" w:rsidRDefault="00BA6AC7" w:rsidP="003E0726">
      <w:pPr>
        <w:pStyle w:val="FootnoteText"/>
        <w:rPr>
          <w:color w:val="215E9F"/>
        </w:rPr>
      </w:pPr>
      <w:r w:rsidRPr="00504F48">
        <w:rPr>
          <w:rStyle w:val="FootnoteReference"/>
          <w:rFonts w:ascii="Calibri" w:hAnsi="Calibri" w:cs="Calibri"/>
        </w:rPr>
        <w:footnoteRef/>
      </w:r>
      <w:r w:rsidRPr="00504F48">
        <w:rPr>
          <w:rFonts w:ascii="Calibri" w:hAnsi="Calibri" w:cs="Calibri"/>
        </w:rPr>
        <w:t xml:space="preserve"> </w:t>
      </w:r>
      <w:hyperlink r:id="rId7" w:history="1">
        <w:r w:rsidRPr="00697433">
          <w:rPr>
            <w:rStyle w:val="Hyperlink"/>
            <w:rFonts w:ascii="Calibri" w:hAnsi="Calibri" w:cs="Calibri"/>
            <w:color w:val="215E9F"/>
          </w:rPr>
          <w:t>International Energy Agency 2023, Renewables 2023</w:t>
        </w:r>
      </w:hyperlink>
    </w:p>
  </w:footnote>
  <w:footnote w:id="9">
    <w:p w14:paraId="31A9E485" w14:textId="77777777" w:rsidR="00073516" w:rsidRDefault="00073516">
      <w:pPr>
        <w:pStyle w:val="FootnoteText"/>
      </w:pPr>
      <w:r>
        <w:rPr>
          <w:rStyle w:val="FootnoteReference"/>
        </w:rPr>
        <w:footnoteRef/>
      </w:r>
      <w:r>
        <w:t xml:space="preserve"> </w:t>
      </w:r>
      <w:hyperlink r:id="rId8" w:history="1">
        <w:r w:rsidRPr="006B292F">
          <w:rPr>
            <w:rStyle w:val="Hyperlink"/>
            <w:color w:val="215E9F"/>
          </w:rPr>
          <w:t>The future of Australian Agribusiness - BDO</w:t>
        </w:r>
      </w:hyperlink>
    </w:p>
  </w:footnote>
  <w:footnote w:id="10">
    <w:p w14:paraId="5DB095EF" w14:textId="77777777" w:rsidR="00073516" w:rsidRDefault="00073516">
      <w:pPr>
        <w:pStyle w:val="FootnoteText"/>
      </w:pPr>
      <w:r>
        <w:rPr>
          <w:rStyle w:val="FootnoteReference"/>
        </w:rPr>
        <w:footnoteRef/>
      </w:r>
      <w:r>
        <w:t xml:space="preserve"> </w:t>
      </w:r>
      <w:hyperlink r:id="rId9" w:history="1">
        <w:r w:rsidRPr="006B292F">
          <w:rPr>
            <w:rStyle w:val="Hyperlink"/>
            <w:color w:val="215E9F"/>
          </w:rPr>
          <w:t>The future of Australian Agribusiness - BDO</w:t>
        </w:r>
      </w:hyperlink>
    </w:p>
  </w:footnote>
  <w:footnote w:id="11">
    <w:p w14:paraId="5A74E6F0" w14:textId="77777777" w:rsidR="00073516" w:rsidRDefault="00073516">
      <w:pPr>
        <w:pStyle w:val="FootnoteText"/>
      </w:pPr>
      <w:r>
        <w:rPr>
          <w:rStyle w:val="FootnoteReference"/>
        </w:rPr>
        <w:footnoteRef/>
      </w:r>
      <w:r>
        <w:t xml:space="preserve"> </w:t>
      </w:r>
      <w:hyperlink r:id="rId10" w:anchor=":~:text=Digital%20Agriculture%20Market%20size%20was,significantly%20driving%20the%20market%20growth." w:history="1">
        <w:r w:rsidRPr="006B292F">
          <w:rPr>
            <w:rStyle w:val="Hyperlink"/>
            <w:color w:val="215E9F"/>
          </w:rPr>
          <w:t xml:space="preserve">Digital Agriculture Market Size, Growth Outlook 2024 </w:t>
        </w:r>
      </w:hyperlink>
    </w:p>
  </w:footnote>
  <w:footnote w:id="12">
    <w:p w14:paraId="51CC5B5B" w14:textId="77777777" w:rsidR="00073516" w:rsidRDefault="00073516">
      <w:pPr>
        <w:pStyle w:val="FootnoteText"/>
      </w:pPr>
      <w:r>
        <w:rPr>
          <w:rStyle w:val="FootnoteReference"/>
        </w:rPr>
        <w:footnoteRef/>
      </w:r>
      <w:r>
        <w:t xml:space="preserve"> </w:t>
      </w:r>
      <w:hyperlink r:id="rId11" w:anchor=":~:text=Digital%20Agriculture%20Market%20size%20was,significantly%20driving%20the%20market%20growth." w:history="1">
        <w:r w:rsidRPr="006B292F">
          <w:rPr>
            <w:rStyle w:val="Hyperlink"/>
            <w:color w:val="215E9F"/>
          </w:rPr>
          <w:t xml:space="preserve">Digital Agriculture Market Size, Growth Outlook 2024 </w:t>
        </w:r>
      </w:hyperlink>
    </w:p>
  </w:footnote>
  <w:footnote w:id="13">
    <w:p w14:paraId="4EEFA841" w14:textId="77777777" w:rsidR="003B0525" w:rsidRDefault="003B0525">
      <w:pPr>
        <w:pStyle w:val="FootnoteText"/>
      </w:pPr>
      <w:r>
        <w:rPr>
          <w:rStyle w:val="FootnoteReference"/>
        </w:rPr>
        <w:footnoteRef/>
      </w:r>
      <w:r>
        <w:t xml:space="preserve"> </w:t>
      </w:r>
      <w:hyperlink r:id="rId12" w:history="1">
        <w:r w:rsidRPr="00EA65C3">
          <w:rPr>
            <w:rStyle w:val="Hyperlink"/>
            <w:color w:val="215E9F"/>
          </w:rPr>
          <w:t>CSIRO 2020, Growing Australia's Quantum Technology Industry</w:t>
        </w:r>
      </w:hyperlink>
    </w:p>
  </w:footnote>
  <w:footnote w:id="14">
    <w:p w14:paraId="5B16AE23" w14:textId="77777777" w:rsidR="003B0525" w:rsidRDefault="003B0525">
      <w:pPr>
        <w:pStyle w:val="FootnoteText"/>
      </w:pPr>
      <w:r>
        <w:rPr>
          <w:rStyle w:val="FootnoteReference"/>
        </w:rPr>
        <w:footnoteRef/>
      </w:r>
      <w:r>
        <w:t xml:space="preserve"> </w:t>
      </w:r>
      <w:hyperlink r:id="rId13" w:history="1">
        <w:r w:rsidRPr="00EA65C3">
          <w:rPr>
            <w:rStyle w:val="Hyperlink"/>
            <w:color w:val="215E9F"/>
          </w:rPr>
          <w:t xml:space="preserve">DISR 2023, National Quantum Strategy </w:t>
        </w:r>
      </w:hyperlink>
    </w:p>
  </w:footnote>
  <w:footnote w:id="15">
    <w:p w14:paraId="10235D78" w14:textId="77777777" w:rsidR="003B0525" w:rsidRDefault="003B0525">
      <w:pPr>
        <w:pStyle w:val="FootnoteText"/>
      </w:pPr>
      <w:r>
        <w:rPr>
          <w:rStyle w:val="FootnoteReference"/>
        </w:rPr>
        <w:footnoteRef/>
      </w:r>
      <w:r>
        <w:t xml:space="preserve"> </w:t>
      </w:r>
      <w:hyperlink r:id="rId14" w:history="1">
        <w:proofErr w:type="spellStart"/>
        <w:r w:rsidRPr="00EA65C3">
          <w:rPr>
            <w:rStyle w:val="Hyperlink"/>
            <w:color w:val="215E9F"/>
          </w:rPr>
          <w:t>GlobalData</w:t>
        </w:r>
        <w:proofErr w:type="spellEnd"/>
        <w:r w:rsidRPr="00EA65C3">
          <w:rPr>
            <w:rStyle w:val="Hyperlink"/>
            <w:color w:val="215E9F"/>
          </w:rPr>
          <w:t xml:space="preserve"> 2023, Thematic Intelligence: Technology: Quantum Computing </w:t>
        </w:r>
      </w:hyperlink>
    </w:p>
  </w:footnote>
  <w:footnote w:id="16">
    <w:p w14:paraId="37C57586" w14:textId="77777777" w:rsidR="003B0525" w:rsidRDefault="003B0525">
      <w:pPr>
        <w:pStyle w:val="FootnoteText"/>
      </w:pPr>
      <w:r>
        <w:rPr>
          <w:rStyle w:val="FootnoteReference"/>
        </w:rPr>
        <w:footnoteRef/>
      </w:r>
      <w:r>
        <w:t xml:space="preserve"> </w:t>
      </w:r>
      <w:hyperlink r:id="rId15" w:history="1">
        <w:proofErr w:type="spellStart"/>
        <w:r w:rsidRPr="00EA65C3">
          <w:rPr>
            <w:rStyle w:val="Hyperlink"/>
            <w:color w:val="215E9F"/>
          </w:rPr>
          <w:t>GlobalData</w:t>
        </w:r>
        <w:proofErr w:type="spellEnd"/>
        <w:r w:rsidRPr="00EA65C3">
          <w:rPr>
            <w:rStyle w:val="Hyperlink"/>
            <w:color w:val="215E9F"/>
          </w:rPr>
          <w:t xml:space="preserve"> 2023, Thematic Intelligence: Technology: Quantum Computing </w:t>
        </w:r>
      </w:hyperlink>
    </w:p>
  </w:footnote>
  <w:footnote w:id="17">
    <w:p w14:paraId="052A5A9B" w14:textId="77777777" w:rsidR="003B0525" w:rsidRPr="007760BD" w:rsidRDefault="003B0525">
      <w:pPr>
        <w:pStyle w:val="FootnoteText"/>
      </w:pPr>
      <w:r w:rsidRPr="007760BD">
        <w:rPr>
          <w:rStyle w:val="FootnoteReference"/>
        </w:rPr>
        <w:footnoteRef/>
      </w:r>
      <w:r w:rsidRPr="007760BD">
        <w:rPr>
          <w:rStyle w:val="Hyperlink"/>
          <w:rFonts w:cs="Inter"/>
          <w:color w:val="215E9F"/>
        </w:rPr>
        <w:t xml:space="preserve"> </w:t>
      </w:r>
      <w:hyperlink r:id="rId16" w:history="1">
        <w:r w:rsidRPr="0015167C">
          <w:rPr>
            <w:rStyle w:val="Hyperlink"/>
            <w:rFonts w:cs="Inter"/>
            <w:color w:val="215E9F"/>
          </w:rPr>
          <w:t>IBISWorld 2023, Artificial Intelligence in Australia</w:t>
        </w:r>
      </w:hyperlink>
    </w:p>
  </w:footnote>
  <w:footnote w:id="18">
    <w:p w14:paraId="44E2AFF8" w14:textId="77777777" w:rsidR="003B0525" w:rsidRPr="007760BD" w:rsidRDefault="003B0525">
      <w:pPr>
        <w:pStyle w:val="FootnoteText"/>
      </w:pPr>
      <w:r w:rsidRPr="007760BD">
        <w:rPr>
          <w:rStyle w:val="FootnoteReference"/>
        </w:rPr>
        <w:footnoteRef/>
      </w:r>
      <w:r w:rsidRPr="007760BD">
        <w:t xml:space="preserve"> </w:t>
      </w:r>
      <w:hyperlink r:id="rId17" w:history="1">
        <w:r w:rsidRPr="007760BD">
          <w:rPr>
            <w:rStyle w:val="Hyperlink"/>
            <w:rFonts w:cs="Inter"/>
            <w:color w:val="215E9F"/>
          </w:rPr>
          <w:t>IB</w:t>
        </w:r>
        <w:r w:rsidRPr="0015167C">
          <w:rPr>
            <w:rStyle w:val="Hyperlink"/>
            <w:rFonts w:cs="Inter"/>
            <w:color w:val="215E9F"/>
          </w:rPr>
          <w:t>ISWorld 2023, Artificial Intelligence in Australia</w:t>
        </w:r>
      </w:hyperlink>
    </w:p>
  </w:footnote>
  <w:footnote w:id="19">
    <w:p w14:paraId="478597C2" w14:textId="77777777" w:rsidR="003B0525" w:rsidRPr="007760BD" w:rsidRDefault="003B0525">
      <w:pPr>
        <w:pStyle w:val="FootnoteText"/>
        <w:rPr>
          <w:rStyle w:val="Hyperlink"/>
          <w:rFonts w:cs="Inter"/>
          <w:color w:val="215E9F"/>
        </w:rPr>
      </w:pPr>
      <w:r w:rsidRPr="007760BD">
        <w:rPr>
          <w:rStyle w:val="FootnoteReference"/>
        </w:rPr>
        <w:footnoteRef/>
      </w:r>
      <w:r w:rsidRPr="007760BD">
        <w:t xml:space="preserve"> </w:t>
      </w:r>
      <w:hyperlink r:id="rId18" w:history="1">
        <w:proofErr w:type="spellStart"/>
        <w:r w:rsidRPr="0015167C">
          <w:rPr>
            <w:rStyle w:val="Hyperlink"/>
            <w:rFonts w:cs="Inter"/>
            <w:color w:val="215E9F"/>
          </w:rPr>
          <w:t>GlobalData</w:t>
        </w:r>
        <w:proofErr w:type="spellEnd"/>
        <w:r w:rsidRPr="0015167C">
          <w:rPr>
            <w:rStyle w:val="Hyperlink"/>
            <w:rFonts w:cs="Inter"/>
            <w:color w:val="215E9F"/>
          </w:rPr>
          <w:t xml:space="preserve"> 2023, Thematic Intelligence: Artificial Intelligence</w:t>
        </w:r>
      </w:hyperlink>
    </w:p>
  </w:footnote>
  <w:footnote w:id="20">
    <w:p w14:paraId="6B1BBF12" w14:textId="77777777" w:rsidR="003B0525" w:rsidRDefault="003B0525">
      <w:pPr>
        <w:pStyle w:val="FootnoteText"/>
      </w:pPr>
      <w:r w:rsidRPr="007760BD">
        <w:rPr>
          <w:rStyle w:val="FootnoteReference"/>
        </w:rPr>
        <w:footnoteRef/>
      </w:r>
      <w:r w:rsidRPr="007760BD">
        <w:t xml:space="preserve"> </w:t>
      </w:r>
      <w:hyperlink r:id="rId19" w:history="1">
        <w:proofErr w:type="spellStart"/>
        <w:r w:rsidRPr="0015167C">
          <w:rPr>
            <w:rStyle w:val="Hyperlink"/>
            <w:rFonts w:cs="Inter"/>
            <w:color w:val="215E9F"/>
          </w:rPr>
          <w:t>GlobalData</w:t>
        </w:r>
        <w:proofErr w:type="spellEnd"/>
        <w:r w:rsidRPr="0015167C">
          <w:rPr>
            <w:rStyle w:val="Hyperlink"/>
            <w:rFonts w:cs="Inter"/>
            <w:color w:val="215E9F"/>
          </w:rPr>
          <w:t xml:space="preserve"> 2023, Thematic Intelligence: Artificial Intelligence</w:t>
        </w:r>
      </w:hyperlink>
    </w:p>
  </w:footnote>
  <w:footnote w:id="21">
    <w:p w14:paraId="01369E17" w14:textId="77777777" w:rsidR="003B0525" w:rsidRPr="00C80106" w:rsidRDefault="003B0525" w:rsidP="003E0726">
      <w:pPr>
        <w:pStyle w:val="FootnoteText"/>
      </w:pPr>
      <w:r>
        <w:rPr>
          <w:rStyle w:val="FootnoteReference"/>
        </w:rPr>
        <w:footnoteRef/>
      </w:r>
      <w:r>
        <w:t xml:space="preserve"> </w:t>
      </w:r>
      <w:hyperlink r:id="rId20" w:history="1">
        <w:r w:rsidRPr="00C80106">
          <w:rPr>
            <w:rStyle w:val="Hyperlink"/>
            <w:color w:val="215E9F"/>
          </w:rPr>
          <w:t>NMSC 2022, Australia: Additive Manufacturing Market</w:t>
        </w:r>
      </w:hyperlink>
      <w:r w:rsidRPr="00C80106">
        <w:t xml:space="preserve"> </w:t>
      </w:r>
      <w:r w:rsidRPr="00C80106">
        <w:rPr>
          <w:rFonts w:ascii="Inter-Regular" w:hAnsi="Inter-Regular" w:cs="Inter-Regular"/>
          <w:color w:val="0F1133"/>
        </w:rPr>
        <w:t>Broader estimates for advanced manufacturing were not available.</w:t>
      </w:r>
    </w:p>
  </w:footnote>
  <w:footnote w:id="22">
    <w:p w14:paraId="275B82EB" w14:textId="77777777" w:rsidR="003B0525" w:rsidRPr="00C80106" w:rsidRDefault="003B0525" w:rsidP="003E0726">
      <w:pPr>
        <w:pStyle w:val="FootnoteText"/>
        <w:rPr>
          <w:color w:val="215E9F"/>
        </w:rPr>
      </w:pPr>
      <w:r w:rsidRPr="00C80106">
        <w:rPr>
          <w:rStyle w:val="FootnoteReference"/>
        </w:rPr>
        <w:footnoteRef/>
      </w:r>
      <w:r w:rsidRPr="00C80106">
        <w:t xml:space="preserve"> </w:t>
      </w:r>
      <w:hyperlink r:id="rId21" w:history="1">
        <w:r w:rsidRPr="00075286">
          <w:rPr>
            <w:rStyle w:val="Hyperlink"/>
            <w:rFonts w:ascii="Calibri" w:hAnsi="Calibri" w:cs="Calibri"/>
            <w:color w:val="215E9F"/>
          </w:rPr>
          <w:t>NMSC 2022, Australia: Additive Manufacturing Market</w:t>
        </w:r>
      </w:hyperlink>
    </w:p>
  </w:footnote>
  <w:footnote w:id="23">
    <w:p w14:paraId="7CBA2B70" w14:textId="77777777" w:rsidR="003B0525" w:rsidRPr="00075286" w:rsidRDefault="003B0525">
      <w:pPr>
        <w:pStyle w:val="FootnoteText"/>
        <w:rPr>
          <w:u w:val="single"/>
        </w:rPr>
      </w:pPr>
      <w:r w:rsidRPr="00C80106">
        <w:rPr>
          <w:rStyle w:val="FootnoteReference"/>
        </w:rPr>
        <w:footnoteRef/>
      </w:r>
      <w:r w:rsidRPr="00C80106">
        <w:t xml:space="preserve"> </w:t>
      </w:r>
      <w:hyperlink r:id="rId22" w:history="1">
        <w:r w:rsidRPr="00C80106">
          <w:rPr>
            <w:rStyle w:val="Hyperlink"/>
            <w:color w:val="215E9F"/>
          </w:rPr>
          <w:t>Frost &amp; Sullivan 2022, Global Additive Manufacturing Growth Opportunities</w:t>
        </w:r>
      </w:hyperlink>
    </w:p>
  </w:footnote>
  <w:footnote w:id="24">
    <w:p w14:paraId="0D216AA1" w14:textId="77777777" w:rsidR="003B0525" w:rsidRDefault="003B0525" w:rsidP="003E0726">
      <w:pPr>
        <w:pStyle w:val="FootnoteText"/>
      </w:pPr>
      <w:r w:rsidRPr="00C80106">
        <w:rPr>
          <w:rStyle w:val="FootnoteReference"/>
        </w:rPr>
        <w:footnoteRef/>
      </w:r>
      <w:r w:rsidRPr="00C80106">
        <w:t xml:space="preserve"> </w:t>
      </w:r>
      <w:hyperlink r:id="rId23" w:history="1">
        <w:r w:rsidRPr="00C80106">
          <w:rPr>
            <w:rStyle w:val="Hyperlink"/>
            <w:color w:val="215E9F"/>
            <w:kern w:val="0"/>
            <w14:ligatures w14:val="none"/>
          </w:rPr>
          <w:t>Frost &amp; Sullivan 2022, Global Additive Manufacturing Growth Opportunities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BC1D0C6" w14:paraId="0F65387C" w14:textId="77777777" w:rsidTr="00D56716">
      <w:trPr>
        <w:trHeight w:val="300"/>
      </w:trPr>
      <w:tc>
        <w:tcPr>
          <w:tcW w:w="3005" w:type="dxa"/>
        </w:tcPr>
        <w:p w14:paraId="025FA56D" w14:textId="1C229312" w:rsidR="3BC1D0C6" w:rsidRDefault="3BC1D0C6" w:rsidP="00D56716">
          <w:pPr>
            <w:pStyle w:val="Header"/>
            <w:ind w:left="-115"/>
          </w:pPr>
        </w:p>
      </w:tc>
      <w:tc>
        <w:tcPr>
          <w:tcW w:w="3005" w:type="dxa"/>
        </w:tcPr>
        <w:p w14:paraId="2CCF39E5" w14:textId="46D083DF" w:rsidR="3BC1D0C6" w:rsidRDefault="3BC1D0C6" w:rsidP="00D56716">
          <w:pPr>
            <w:pStyle w:val="Header"/>
            <w:jc w:val="center"/>
          </w:pPr>
        </w:p>
      </w:tc>
      <w:tc>
        <w:tcPr>
          <w:tcW w:w="3005" w:type="dxa"/>
        </w:tcPr>
        <w:p w14:paraId="789F711D" w14:textId="50FAC531" w:rsidR="3BC1D0C6" w:rsidRDefault="3BC1D0C6" w:rsidP="00D56716">
          <w:pPr>
            <w:pStyle w:val="Header"/>
            <w:ind w:right="-115"/>
            <w:jc w:val="right"/>
          </w:pPr>
        </w:p>
      </w:tc>
    </w:tr>
  </w:tbl>
  <w:p w14:paraId="1D84E212" w14:textId="4FB0D12C" w:rsidR="3BC1D0C6" w:rsidRDefault="3BC1D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A7054" w14:textId="57FC0E11" w:rsidR="008D62FE" w:rsidRDefault="008D6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BC1D0C6" w14:paraId="207C5BA2" w14:textId="77777777" w:rsidTr="00D56716">
      <w:trPr>
        <w:trHeight w:val="300"/>
      </w:trPr>
      <w:tc>
        <w:tcPr>
          <w:tcW w:w="3005" w:type="dxa"/>
        </w:tcPr>
        <w:p w14:paraId="4C5FB388" w14:textId="521B6F94" w:rsidR="3BC1D0C6" w:rsidRDefault="3BC1D0C6" w:rsidP="00D56716">
          <w:pPr>
            <w:pStyle w:val="Header"/>
            <w:ind w:left="-115"/>
          </w:pPr>
        </w:p>
      </w:tc>
      <w:tc>
        <w:tcPr>
          <w:tcW w:w="3005" w:type="dxa"/>
        </w:tcPr>
        <w:p w14:paraId="5DFA21D1" w14:textId="5BE031A3" w:rsidR="3BC1D0C6" w:rsidRDefault="3BC1D0C6" w:rsidP="00D56716">
          <w:pPr>
            <w:pStyle w:val="Header"/>
            <w:jc w:val="center"/>
          </w:pPr>
        </w:p>
      </w:tc>
      <w:tc>
        <w:tcPr>
          <w:tcW w:w="3005" w:type="dxa"/>
        </w:tcPr>
        <w:p w14:paraId="0688A20A" w14:textId="2B6779EB" w:rsidR="3BC1D0C6" w:rsidRDefault="3BC1D0C6" w:rsidP="00D56716">
          <w:pPr>
            <w:pStyle w:val="Header"/>
            <w:ind w:right="-115"/>
            <w:jc w:val="right"/>
          </w:pPr>
        </w:p>
      </w:tc>
    </w:tr>
  </w:tbl>
  <w:p w14:paraId="6E487F18" w14:textId="502D5BE1" w:rsidR="3BC1D0C6" w:rsidRDefault="3BC1D0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F7F46" w14:textId="65E2CB99" w:rsidR="008D62FE" w:rsidRDefault="008D62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51F7" w14:textId="2C1832E8" w:rsidR="008D62FE" w:rsidRDefault="008D62F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3BC1D0C6" w14:paraId="412E5E9A" w14:textId="77777777" w:rsidTr="00D56716">
      <w:trPr>
        <w:trHeight w:val="300"/>
      </w:trPr>
      <w:tc>
        <w:tcPr>
          <w:tcW w:w="4650" w:type="dxa"/>
        </w:tcPr>
        <w:p w14:paraId="19E12273" w14:textId="49477B1B" w:rsidR="3BC1D0C6" w:rsidRDefault="3BC1D0C6" w:rsidP="00D56716">
          <w:pPr>
            <w:pStyle w:val="Header"/>
            <w:ind w:left="-115"/>
          </w:pPr>
        </w:p>
      </w:tc>
      <w:tc>
        <w:tcPr>
          <w:tcW w:w="4650" w:type="dxa"/>
        </w:tcPr>
        <w:p w14:paraId="6C1A4687" w14:textId="2ECBAA2F" w:rsidR="3BC1D0C6" w:rsidRDefault="3BC1D0C6" w:rsidP="00D56716">
          <w:pPr>
            <w:pStyle w:val="Header"/>
            <w:jc w:val="center"/>
          </w:pPr>
        </w:p>
      </w:tc>
      <w:tc>
        <w:tcPr>
          <w:tcW w:w="4650" w:type="dxa"/>
        </w:tcPr>
        <w:p w14:paraId="5CC1F736" w14:textId="3E08F018" w:rsidR="3BC1D0C6" w:rsidRDefault="3BC1D0C6" w:rsidP="00D56716">
          <w:pPr>
            <w:pStyle w:val="Header"/>
            <w:ind w:right="-115"/>
            <w:jc w:val="right"/>
          </w:pPr>
        </w:p>
      </w:tc>
    </w:tr>
  </w:tbl>
  <w:p w14:paraId="6B2242B1" w14:textId="47429244" w:rsidR="3BC1D0C6" w:rsidRDefault="3BC1D0C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64B6A" w14:textId="1506F8FA" w:rsidR="008D62FE" w:rsidRDefault="008D6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167B27"/>
    <w:multiLevelType w:val="hybridMultilevel"/>
    <w:tmpl w:val="B4106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1787BEB"/>
    <w:multiLevelType w:val="hybridMultilevel"/>
    <w:tmpl w:val="614029C8"/>
    <w:lvl w:ilvl="0" w:tplc="3C96D410">
      <w:numFmt w:val="bullet"/>
      <w:lvlText w:val="•"/>
      <w:lvlJc w:val="left"/>
      <w:pPr>
        <w:ind w:left="720" w:hanging="360"/>
      </w:pPr>
      <w:rPr>
        <w:rFonts w:ascii="Calibri" w:eastAsiaTheme="minorHAnsi"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2273EE1"/>
    <w:multiLevelType w:val="hybridMultilevel"/>
    <w:tmpl w:val="F6022B86"/>
    <w:lvl w:ilvl="0" w:tplc="FF365B56">
      <w:start w:val="1"/>
      <w:numFmt w:val="bullet"/>
      <w:lvlText w:val="•"/>
      <w:lvlJc w:val="left"/>
      <w:pPr>
        <w:ind w:left="2848"/>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666CCE26">
      <w:start w:val="1"/>
      <w:numFmt w:val="bullet"/>
      <w:lvlText w:val="o"/>
      <w:lvlJc w:val="left"/>
      <w:pPr>
        <w:ind w:left="364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227E98A8">
      <w:start w:val="1"/>
      <w:numFmt w:val="bullet"/>
      <w:lvlText w:val="▪"/>
      <w:lvlJc w:val="left"/>
      <w:pPr>
        <w:ind w:left="436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D88E56C2">
      <w:start w:val="1"/>
      <w:numFmt w:val="bullet"/>
      <w:lvlText w:val="•"/>
      <w:lvlJc w:val="left"/>
      <w:pPr>
        <w:ind w:left="508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B8BE0342">
      <w:start w:val="1"/>
      <w:numFmt w:val="bullet"/>
      <w:lvlText w:val="o"/>
      <w:lvlJc w:val="left"/>
      <w:pPr>
        <w:ind w:left="580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671E7AB8">
      <w:start w:val="1"/>
      <w:numFmt w:val="bullet"/>
      <w:lvlText w:val="▪"/>
      <w:lvlJc w:val="left"/>
      <w:pPr>
        <w:ind w:left="652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7048183E">
      <w:start w:val="1"/>
      <w:numFmt w:val="bullet"/>
      <w:lvlText w:val="•"/>
      <w:lvlJc w:val="left"/>
      <w:pPr>
        <w:ind w:left="724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62025AE8">
      <w:start w:val="1"/>
      <w:numFmt w:val="bullet"/>
      <w:lvlText w:val="o"/>
      <w:lvlJc w:val="left"/>
      <w:pPr>
        <w:ind w:left="796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EF0E807C">
      <w:start w:val="1"/>
      <w:numFmt w:val="bullet"/>
      <w:lvlText w:val="▪"/>
      <w:lvlJc w:val="left"/>
      <w:pPr>
        <w:ind w:left="868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10" w15:restartNumberingAfterBreak="0">
    <w:nsid w:val="03B14631"/>
    <w:multiLevelType w:val="hybridMultilevel"/>
    <w:tmpl w:val="0388F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CC5C43"/>
    <w:multiLevelType w:val="hybridMultilevel"/>
    <w:tmpl w:val="5B6CBD06"/>
    <w:lvl w:ilvl="0" w:tplc="1C7AE340">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D43ED042">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29109F42">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3B3CC7A2">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38686D00">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24C02A64">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B21EAD2C">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F55A16FE">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7CC87E64">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12" w15:restartNumberingAfterBreak="0">
    <w:nsid w:val="03F56B14"/>
    <w:multiLevelType w:val="hybridMultilevel"/>
    <w:tmpl w:val="C4D81428"/>
    <w:lvl w:ilvl="0" w:tplc="BEEAAA76">
      <w:start w:val="1"/>
      <w:numFmt w:val="decimal"/>
      <w:pStyle w:val="MBPoint"/>
      <w:lvlText w:val="%1."/>
      <w:lvlJc w:val="left"/>
      <w:pPr>
        <w:ind w:left="7306" w:hanging="360"/>
      </w:pPr>
      <w:rPr>
        <w:rFonts w:hint="default"/>
      </w:rPr>
    </w:lvl>
    <w:lvl w:ilvl="1" w:tplc="17B4A042">
      <w:start w:val="1"/>
      <w:numFmt w:val="lowerRoman"/>
      <w:lvlText w:val="%2."/>
      <w:lvlJc w:val="right"/>
      <w:pPr>
        <w:ind w:left="1137" w:hanging="360"/>
      </w:pPr>
    </w:lvl>
    <w:lvl w:ilvl="2" w:tplc="9ACCEF12" w:tentative="1">
      <w:start w:val="1"/>
      <w:numFmt w:val="lowerRoman"/>
      <w:lvlText w:val="%3."/>
      <w:lvlJc w:val="right"/>
      <w:pPr>
        <w:ind w:left="1857" w:hanging="180"/>
      </w:pPr>
    </w:lvl>
    <w:lvl w:ilvl="3" w:tplc="3684B9EC" w:tentative="1">
      <w:start w:val="1"/>
      <w:numFmt w:val="decimal"/>
      <w:lvlText w:val="%4."/>
      <w:lvlJc w:val="left"/>
      <w:pPr>
        <w:ind w:left="2577" w:hanging="360"/>
      </w:pPr>
    </w:lvl>
    <w:lvl w:ilvl="4" w:tplc="27BA53B4" w:tentative="1">
      <w:start w:val="1"/>
      <w:numFmt w:val="lowerLetter"/>
      <w:lvlText w:val="%5."/>
      <w:lvlJc w:val="left"/>
      <w:pPr>
        <w:ind w:left="3297" w:hanging="360"/>
      </w:pPr>
    </w:lvl>
    <w:lvl w:ilvl="5" w:tplc="AC746CCE" w:tentative="1">
      <w:start w:val="1"/>
      <w:numFmt w:val="lowerRoman"/>
      <w:lvlText w:val="%6."/>
      <w:lvlJc w:val="right"/>
      <w:pPr>
        <w:ind w:left="4017" w:hanging="180"/>
      </w:pPr>
    </w:lvl>
    <w:lvl w:ilvl="6" w:tplc="A6C8F392" w:tentative="1">
      <w:start w:val="1"/>
      <w:numFmt w:val="decimal"/>
      <w:lvlText w:val="%7."/>
      <w:lvlJc w:val="left"/>
      <w:pPr>
        <w:ind w:left="4737" w:hanging="360"/>
      </w:pPr>
    </w:lvl>
    <w:lvl w:ilvl="7" w:tplc="B0E01C5A" w:tentative="1">
      <w:start w:val="1"/>
      <w:numFmt w:val="lowerLetter"/>
      <w:lvlText w:val="%8."/>
      <w:lvlJc w:val="left"/>
      <w:pPr>
        <w:ind w:left="5457" w:hanging="360"/>
      </w:pPr>
    </w:lvl>
    <w:lvl w:ilvl="8" w:tplc="EC82CD70" w:tentative="1">
      <w:start w:val="1"/>
      <w:numFmt w:val="lowerRoman"/>
      <w:lvlText w:val="%9."/>
      <w:lvlJc w:val="right"/>
      <w:pPr>
        <w:ind w:left="6177" w:hanging="180"/>
      </w:pPr>
    </w:lvl>
  </w:abstractNum>
  <w:abstractNum w:abstractNumId="13" w15:restartNumberingAfterBreak="0">
    <w:nsid w:val="04931B6E"/>
    <w:multiLevelType w:val="hybridMultilevel"/>
    <w:tmpl w:val="A0D8F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5" w15:restartNumberingAfterBreak="0">
    <w:nsid w:val="0738236D"/>
    <w:multiLevelType w:val="hybridMultilevel"/>
    <w:tmpl w:val="820229B0"/>
    <w:lvl w:ilvl="0" w:tplc="C618F8B4">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C46E666A">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8ED63562">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74928E44">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661A488A">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253A809C">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7FCE7158">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B94AEEE2">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00840218">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1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14AC3D62"/>
    <w:multiLevelType w:val="hybridMultilevel"/>
    <w:tmpl w:val="1BDC3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43517F"/>
    <w:multiLevelType w:val="hybridMultilevel"/>
    <w:tmpl w:val="6DF4AB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15BA3114"/>
    <w:multiLevelType w:val="hybridMultilevel"/>
    <w:tmpl w:val="36721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5DC4BC0"/>
    <w:multiLevelType w:val="hybridMultilevel"/>
    <w:tmpl w:val="73CAA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197FA77"/>
    <w:multiLevelType w:val="hybridMultilevel"/>
    <w:tmpl w:val="AD7291EC"/>
    <w:lvl w:ilvl="0" w:tplc="89C61AC4">
      <w:start w:val="1"/>
      <w:numFmt w:val="bullet"/>
      <w:lvlText w:val="·"/>
      <w:lvlJc w:val="left"/>
      <w:pPr>
        <w:ind w:left="720" w:hanging="360"/>
      </w:pPr>
      <w:rPr>
        <w:rFonts w:ascii="Symbol" w:hAnsi="Symbol" w:hint="default"/>
      </w:rPr>
    </w:lvl>
    <w:lvl w:ilvl="1" w:tplc="36A4A364">
      <w:start w:val="1"/>
      <w:numFmt w:val="bullet"/>
      <w:lvlText w:val="o"/>
      <w:lvlJc w:val="left"/>
      <w:pPr>
        <w:ind w:left="1440" w:hanging="360"/>
      </w:pPr>
      <w:rPr>
        <w:rFonts w:ascii="Courier New" w:hAnsi="Courier New" w:hint="default"/>
      </w:rPr>
    </w:lvl>
    <w:lvl w:ilvl="2" w:tplc="A0324550">
      <w:start w:val="1"/>
      <w:numFmt w:val="bullet"/>
      <w:lvlText w:val=""/>
      <w:lvlJc w:val="left"/>
      <w:pPr>
        <w:ind w:left="2160" w:hanging="360"/>
      </w:pPr>
      <w:rPr>
        <w:rFonts w:ascii="Wingdings" w:hAnsi="Wingdings" w:hint="default"/>
      </w:rPr>
    </w:lvl>
    <w:lvl w:ilvl="3" w:tplc="84CE3962">
      <w:start w:val="1"/>
      <w:numFmt w:val="bullet"/>
      <w:lvlText w:val=""/>
      <w:lvlJc w:val="left"/>
      <w:pPr>
        <w:ind w:left="2880" w:hanging="360"/>
      </w:pPr>
      <w:rPr>
        <w:rFonts w:ascii="Symbol" w:hAnsi="Symbol" w:hint="default"/>
      </w:rPr>
    </w:lvl>
    <w:lvl w:ilvl="4" w:tplc="B8729096">
      <w:start w:val="1"/>
      <w:numFmt w:val="bullet"/>
      <w:lvlText w:val="o"/>
      <w:lvlJc w:val="left"/>
      <w:pPr>
        <w:ind w:left="3600" w:hanging="360"/>
      </w:pPr>
      <w:rPr>
        <w:rFonts w:ascii="Courier New" w:hAnsi="Courier New" w:hint="default"/>
      </w:rPr>
    </w:lvl>
    <w:lvl w:ilvl="5" w:tplc="3D9612C2">
      <w:start w:val="1"/>
      <w:numFmt w:val="bullet"/>
      <w:lvlText w:val=""/>
      <w:lvlJc w:val="left"/>
      <w:pPr>
        <w:ind w:left="4320" w:hanging="360"/>
      </w:pPr>
      <w:rPr>
        <w:rFonts w:ascii="Wingdings" w:hAnsi="Wingdings" w:hint="default"/>
      </w:rPr>
    </w:lvl>
    <w:lvl w:ilvl="6" w:tplc="0AB28DCC">
      <w:start w:val="1"/>
      <w:numFmt w:val="bullet"/>
      <w:lvlText w:val=""/>
      <w:lvlJc w:val="left"/>
      <w:pPr>
        <w:ind w:left="5040" w:hanging="360"/>
      </w:pPr>
      <w:rPr>
        <w:rFonts w:ascii="Symbol" w:hAnsi="Symbol" w:hint="default"/>
      </w:rPr>
    </w:lvl>
    <w:lvl w:ilvl="7" w:tplc="2E1C693C">
      <w:start w:val="1"/>
      <w:numFmt w:val="bullet"/>
      <w:lvlText w:val="o"/>
      <w:lvlJc w:val="left"/>
      <w:pPr>
        <w:ind w:left="5760" w:hanging="360"/>
      </w:pPr>
      <w:rPr>
        <w:rFonts w:ascii="Courier New" w:hAnsi="Courier New" w:hint="default"/>
      </w:rPr>
    </w:lvl>
    <w:lvl w:ilvl="8" w:tplc="C2DE758C">
      <w:start w:val="1"/>
      <w:numFmt w:val="bullet"/>
      <w:lvlText w:val=""/>
      <w:lvlJc w:val="left"/>
      <w:pPr>
        <w:ind w:left="6480" w:hanging="360"/>
      </w:pPr>
      <w:rPr>
        <w:rFonts w:ascii="Wingdings" w:hAnsi="Wingdings" w:hint="default"/>
      </w:rPr>
    </w:lvl>
  </w:abstractNum>
  <w:abstractNum w:abstractNumId="25" w15:restartNumberingAfterBreak="0">
    <w:nsid w:val="2DE26E8A"/>
    <w:multiLevelType w:val="hybridMultilevel"/>
    <w:tmpl w:val="D214C612"/>
    <w:lvl w:ilvl="0" w:tplc="520052F8">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4978DF1E">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24E01DC0">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9A16C218">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CD5E3BB0">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321239D4">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E74AAD4A">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8F16BC5E">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F3E0A1DE">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2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F047141"/>
    <w:multiLevelType w:val="hybridMultilevel"/>
    <w:tmpl w:val="3D3475CC"/>
    <w:lvl w:ilvl="0" w:tplc="ACF2458C">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60121970">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21EE07D8">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57F82220">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8DBCDCD8">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00A6553A">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F6C459D2">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3566D19E">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138C5B78">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29" w15:restartNumberingAfterBreak="0">
    <w:nsid w:val="2F1579AB"/>
    <w:multiLevelType w:val="hybridMultilevel"/>
    <w:tmpl w:val="C8062BEC"/>
    <w:lvl w:ilvl="0" w:tplc="870E8D28">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AFBC671E">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5C16481A">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96A23874">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480425D4">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9D2C324E">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2FFC40F4">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52DADA3E">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3B966E4C">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30" w15:restartNumberingAfterBreak="0">
    <w:nsid w:val="33B14A43"/>
    <w:multiLevelType w:val="hybridMultilevel"/>
    <w:tmpl w:val="6668F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491459"/>
    <w:multiLevelType w:val="hybridMultilevel"/>
    <w:tmpl w:val="9858F90C"/>
    <w:lvl w:ilvl="0" w:tplc="0C090013">
      <w:start w:val="1"/>
      <w:numFmt w:val="upperRoman"/>
      <w:lvlText w:val="%1."/>
      <w:lvlJc w:val="right"/>
      <w:pPr>
        <w:ind w:left="720" w:hanging="360"/>
      </w:pPr>
      <w:rPr>
        <w:rFonts w:hint="default"/>
      </w:rPr>
    </w:lvl>
    <w:lvl w:ilvl="1" w:tplc="83524DDE">
      <w:start w:val="1"/>
      <w:numFmt w:val="lowerLetter"/>
      <w:lvlText w:val="%2."/>
      <w:lvlJc w:val="lef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E95AE3"/>
    <w:multiLevelType w:val="hybridMultilevel"/>
    <w:tmpl w:val="0A409568"/>
    <w:lvl w:ilvl="0" w:tplc="327043A2">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31C0E44E">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16260E5A">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EEB64166">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65247336">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3A0C2D6E">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576E98EC">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095ED94A">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85F457E2">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3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8CE7602"/>
    <w:multiLevelType w:val="hybridMultilevel"/>
    <w:tmpl w:val="D4B82BFE"/>
    <w:lvl w:ilvl="0" w:tplc="FFFFFFFF">
      <w:start w:val="1"/>
      <w:numFmt w:val="decimal"/>
      <w:lvlText w:val="%1."/>
      <w:lvlJc w:val="left"/>
      <w:pPr>
        <w:ind w:left="7307" w:hanging="360"/>
      </w:pPr>
      <w:rPr>
        <w:rFonts w:hint="default"/>
      </w:rPr>
    </w:lvl>
    <w:lvl w:ilvl="1" w:tplc="0C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35" w15:restartNumberingAfterBreak="0">
    <w:nsid w:val="398E42CE"/>
    <w:multiLevelType w:val="hybridMultilevel"/>
    <w:tmpl w:val="25045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B822F95"/>
    <w:multiLevelType w:val="hybridMultilevel"/>
    <w:tmpl w:val="AB82380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D9D6227"/>
    <w:multiLevelType w:val="hybridMultilevel"/>
    <w:tmpl w:val="6B2E238E"/>
    <w:lvl w:ilvl="0" w:tplc="78C0C104">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2DD0DA90">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71E4A606">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C52E18E0">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98B4D2F2">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03D205AC">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FAB0F6A0">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10945922">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06A4284E">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38" w15:restartNumberingAfterBreak="0">
    <w:nsid w:val="3EAF7CB2"/>
    <w:multiLevelType w:val="hybridMultilevel"/>
    <w:tmpl w:val="1946D2EE"/>
    <w:lvl w:ilvl="0" w:tplc="7B20D724">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FBFC7B00">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4DFAF57E">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6A52599A">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E33AD75A">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1A90870C">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4B28B05C">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70EA5A1C">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59AA47EC">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39" w15:restartNumberingAfterBreak="0">
    <w:nsid w:val="4399108B"/>
    <w:multiLevelType w:val="hybridMultilevel"/>
    <w:tmpl w:val="B7E07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E526985"/>
    <w:multiLevelType w:val="hybridMultilevel"/>
    <w:tmpl w:val="B56C6772"/>
    <w:lvl w:ilvl="0" w:tplc="E8524830">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EFEE2880">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44FAB1A8">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16C01FBC">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D0840DE8">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D754358C">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AFBC58BC">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A1FCF128">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26469F8C">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41" w15:restartNumberingAfterBreak="0">
    <w:nsid w:val="4F791C77"/>
    <w:multiLevelType w:val="hybridMultilevel"/>
    <w:tmpl w:val="25B01FBA"/>
    <w:lvl w:ilvl="0" w:tplc="8682CD86">
      <w:start w:val="1"/>
      <w:numFmt w:val="bullet"/>
      <w:lvlText w:val=""/>
      <w:lvlJc w:val="left"/>
      <w:pPr>
        <w:ind w:left="720" w:hanging="360"/>
      </w:pPr>
      <w:rPr>
        <w:rFonts w:ascii="Symbol" w:hAnsi="Symbol" w:hint="default"/>
        <w:color w:val="auto"/>
        <w:sz w:val="22"/>
        <w:szCs w:val="1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2B37079"/>
    <w:multiLevelType w:val="hybridMultilevel"/>
    <w:tmpl w:val="1804DAC8"/>
    <w:lvl w:ilvl="0" w:tplc="D7A4341C">
      <w:start w:val="1"/>
      <w:numFmt w:val="bullet"/>
      <w:lvlText w:val=""/>
      <w:lvlJc w:val="left"/>
      <w:pPr>
        <w:ind w:left="720" w:hanging="360"/>
      </w:pPr>
      <w:rPr>
        <w:rFonts w:ascii="Symbol" w:hAnsi="Symbol" w:hint="default"/>
        <w:color w:val="00206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4C67042"/>
    <w:multiLevelType w:val="hybridMultilevel"/>
    <w:tmpl w:val="761ED2D2"/>
    <w:lvl w:ilvl="0" w:tplc="7A381F3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6066BDA"/>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6900E89"/>
    <w:multiLevelType w:val="hybridMultilevel"/>
    <w:tmpl w:val="9D425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7383C2E"/>
    <w:multiLevelType w:val="hybridMultilevel"/>
    <w:tmpl w:val="E1785D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E6B0B63"/>
    <w:multiLevelType w:val="hybridMultilevel"/>
    <w:tmpl w:val="178CDB3C"/>
    <w:lvl w:ilvl="0" w:tplc="420052F0">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4C92D80E">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35DA4C26">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9CA87A76">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A016DD82">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3E2A4BD2">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30FA5246">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C692705E">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35708F9E">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49" w15:restartNumberingAfterBreak="0">
    <w:nsid w:val="5E9A7623"/>
    <w:multiLevelType w:val="hybridMultilevel"/>
    <w:tmpl w:val="0130070C"/>
    <w:lvl w:ilvl="0" w:tplc="C01CA11E">
      <w:start w:val="1"/>
      <w:numFmt w:val="bullet"/>
      <w:lvlText w:val="•"/>
      <w:lvlJc w:val="left"/>
      <w:pPr>
        <w:ind w:left="28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A036ACB2">
      <w:start w:val="1"/>
      <w:numFmt w:val="bullet"/>
      <w:lvlText w:val="o"/>
      <w:lvlJc w:val="left"/>
      <w:pPr>
        <w:ind w:left="365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94DC5D3E">
      <w:start w:val="1"/>
      <w:numFmt w:val="bullet"/>
      <w:lvlText w:val="▪"/>
      <w:lvlJc w:val="left"/>
      <w:pPr>
        <w:ind w:left="437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AC26A418">
      <w:start w:val="1"/>
      <w:numFmt w:val="bullet"/>
      <w:lvlText w:val="•"/>
      <w:lvlJc w:val="left"/>
      <w:pPr>
        <w:ind w:left="509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C4022228">
      <w:start w:val="1"/>
      <w:numFmt w:val="bullet"/>
      <w:lvlText w:val="o"/>
      <w:lvlJc w:val="left"/>
      <w:pPr>
        <w:ind w:left="581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9D56738A">
      <w:start w:val="1"/>
      <w:numFmt w:val="bullet"/>
      <w:lvlText w:val="▪"/>
      <w:lvlJc w:val="left"/>
      <w:pPr>
        <w:ind w:left="653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D858572E">
      <w:start w:val="1"/>
      <w:numFmt w:val="bullet"/>
      <w:lvlText w:val="•"/>
      <w:lvlJc w:val="left"/>
      <w:pPr>
        <w:ind w:left="725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F84650E8">
      <w:start w:val="1"/>
      <w:numFmt w:val="bullet"/>
      <w:lvlText w:val="o"/>
      <w:lvlJc w:val="left"/>
      <w:pPr>
        <w:ind w:left="797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5C7EB984">
      <w:start w:val="1"/>
      <w:numFmt w:val="bullet"/>
      <w:lvlText w:val="▪"/>
      <w:lvlJc w:val="left"/>
      <w:pPr>
        <w:ind w:left="869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50" w15:restartNumberingAfterBreak="0">
    <w:nsid w:val="619A107B"/>
    <w:multiLevelType w:val="hybridMultilevel"/>
    <w:tmpl w:val="DCD0A4D8"/>
    <w:lvl w:ilvl="0" w:tplc="A0324A6E">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E1E0E8D4">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C4EAD3F4">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B4F49D36">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8D9AEA36">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A044D606">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491AEF5A">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09E867C0">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A05800F2">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51" w15:restartNumberingAfterBreak="0">
    <w:nsid w:val="667B3923"/>
    <w:multiLevelType w:val="hybridMultilevel"/>
    <w:tmpl w:val="45F65BAE"/>
    <w:lvl w:ilvl="0" w:tplc="F2181C6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81F399B"/>
    <w:multiLevelType w:val="hybridMultilevel"/>
    <w:tmpl w:val="677C8602"/>
    <w:lvl w:ilvl="0" w:tplc="9A124D6C">
      <w:start w:val="1"/>
      <w:numFmt w:val="bullet"/>
      <w:lvlText w:val="•"/>
      <w:lvlJc w:val="left"/>
      <w:pPr>
        <w:ind w:left="28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90081C7C">
      <w:start w:val="1"/>
      <w:numFmt w:val="bullet"/>
      <w:lvlText w:val="o"/>
      <w:lvlJc w:val="left"/>
      <w:pPr>
        <w:ind w:left="3683"/>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22CAF4C2">
      <w:start w:val="1"/>
      <w:numFmt w:val="bullet"/>
      <w:lvlText w:val="▪"/>
      <w:lvlJc w:val="left"/>
      <w:pPr>
        <w:ind w:left="4403"/>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5F9C3F6E">
      <w:start w:val="1"/>
      <w:numFmt w:val="bullet"/>
      <w:lvlText w:val="•"/>
      <w:lvlJc w:val="left"/>
      <w:pPr>
        <w:ind w:left="5123"/>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DEC81A58">
      <w:start w:val="1"/>
      <w:numFmt w:val="bullet"/>
      <w:lvlText w:val="o"/>
      <w:lvlJc w:val="left"/>
      <w:pPr>
        <w:ind w:left="5843"/>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F91AFE3A">
      <w:start w:val="1"/>
      <w:numFmt w:val="bullet"/>
      <w:lvlText w:val="▪"/>
      <w:lvlJc w:val="left"/>
      <w:pPr>
        <w:ind w:left="6563"/>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846C81CC">
      <w:start w:val="1"/>
      <w:numFmt w:val="bullet"/>
      <w:lvlText w:val="•"/>
      <w:lvlJc w:val="left"/>
      <w:pPr>
        <w:ind w:left="7283"/>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E198464E">
      <w:start w:val="1"/>
      <w:numFmt w:val="bullet"/>
      <w:lvlText w:val="o"/>
      <w:lvlJc w:val="left"/>
      <w:pPr>
        <w:ind w:left="8003"/>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70E69E00">
      <w:start w:val="1"/>
      <w:numFmt w:val="bullet"/>
      <w:lvlText w:val="▪"/>
      <w:lvlJc w:val="left"/>
      <w:pPr>
        <w:ind w:left="8723"/>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53" w15:restartNumberingAfterBreak="0">
    <w:nsid w:val="6C9A279E"/>
    <w:multiLevelType w:val="hybridMultilevel"/>
    <w:tmpl w:val="071E6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E131232"/>
    <w:multiLevelType w:val="hybridMultilevel"/>
    <w:tmpl w:val="821CF4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0FF2723"/>
    <w:multiLevelType w:val="hybridMultilevel"/>
    <w:tmpl w:val="2274439C"/>
    <w:lvl w:ilvl="0" w:tplc="2F8C6B9E">
      <w:start w:val="1"/>
      <w:numFmt w:val="bullet"/>
      <w:lvlText w:val="•"/>
      <w:lvlJc w:val="left"/>
      <w:pPr>
        <w:ind w:left="534"/>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277887FA">
      <w:start w:val="1"/>
      <w:numFmt w:val="bullet"/>
      <w:lvlText w:val="o"/>
      <w:lvlJc w:val="left"/>
      <w:pPr>
        <w:ind w:left="500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2176FCC8">
      <w:start w:val="1"/>
      <w:numFmt w:val="bullet"/>
      <w:lvlText w:val="▪"/>
      <w:lvlJc w:val="left"/>
      <w:pPr>
        <w:ind w:left="572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43FED992">
      <w:start w:val="1"/>
      <w:numFmt w:val="bullet"/>
      <w:lvlText w:val="•"/>
      <w:lvlJc w:val="left"/>
      <w:pPr>
        <w:ind w:left="644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597A1558">
      <w:start w:val="1"/>
      <w:numFmt w:val="bullet"/>
      <w:lvlText w:val="o"/>
      <w:lvlJc w:val="left"/>
      <w:pPr>
        <w:ind w:left="716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50067AC6">
      <w:start w:val="1"/>
      <w:numFmt w:val="bullet"/>
      <w:lvlText w:val="▪"/>
      <w:lvlJc w:val="left"/>
      <w:pPr>
        <w:ind w:left="788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8A8CB9E2">
      <w:start w:val="1"/>
      <w:numFmt w:val="bullet"/>
      <w:lvlText w:val="•"/>
      <w:lvlJc w:val="left"/>
      <w:pPr>
        <w:ind w:left="860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95F2F140">
      <w:start w:val="1"/>
      <w:numFmt w:val="bullet"/>
      <w:lvlText w:val="o"/>
      <w:lvlJc w:val="left"/>
      <w:pPr>
        <w:ind w:left="932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C19AB40E">
      <w:start w:val="1"/>
      <w:numFmt w:val="bullet"/>
      <w:lvlText w:val="▪"/>
      <w:lvlJc w:val="left"/>
      <w:pPr>
        <w:ind w:left="10045"/>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57" w15:restartNumberingAfterBreak="0">
    <w:nsid w:val="7129737D"/>
    <w:multiLevelType w:val="hybridMultilevel"/>
    <w:tmpl w:val="A5E01D14"/>
    <w:lvl w:ilvl="0" w:tplc="E2BCFB34">
      <w:start w:val="1"/>
      <w:numFmt w:val="bullet"/>
      <w:lvlText w:val="•"/>
      <w:lvlJc w:val="left"/>
      <w:pPr>
        <w:ind w:left="287"/>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1" w:tplc="99A253AC">
      <w:start w:val="1"/>
      <w:numFmt w:val="bullet"/>
      <w:lvlText w:val="o"/>
      <w:lvlJc w:val="left"/>
      <w:pPr>
        <w:ind w:left="10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2" w:tplc="6E762FCE">
      <w:start w:val="1"/>
      <w:numFmt w:val="bullet"/>
      <w:lvlText w:val="▪"/>
      <w:lvlJc w:val="left"/>
      <w:pPr>
        <w:ind w:left="18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3" w:tplc="590EEB20">
      <w:start w:val="1"/>
      <w:numFmt w:val="bullet"/>
      <w:lvlText w:val="•"/>
      <w:lvlJc w:val="left"/>
      <w:pPr>
        <w:ind w:left="25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4" w:tplc="C52EFD8E">
      <w:start w:val="1"/>
      <w:numFmt w:val="bullet"/>
      <w:lvlText w:val="o"/>
      <w:lvlJc w:val="left"/>
      <w:pPr>
        <w:ind w:left="324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5" w:tplc="CA804F0A">
      <w:start w:val="1"/>
      <w:numFmt w:val="bullet"/>
      <w:lvlText w:val="▪"/>
      <w:lvlJc w:val="left"/>
      <w:pPr>
        <w:ind w:left="396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6" w:tplc="83D0565E">
      <w:start w:val="1"/>
      <w:numFmt w:val="bullet"/>
      <w:lvlText w:val="•"/>
      <w:lvlJc w:val="left"/>
      <w:pPr>
        <w:ind w:left="468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7" w:tplc="C9EE4C8C">
      <w:start w:val="1"/>
      <w:numFmt w:val="bullet"/>
      <w:lvlText w:val="o"/>
      <w:lvlJc w:val="left"/>
      <w:pPr>
        <w:ind w:left="540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lvl w:ilvl="8" w:tplc="201295E8">
      <w:start w:val="1"/>
      <w:numFmt w:val="bullet"/>
      <w:lvlText w:val="▪"/>
      <w:lvlJc w:val="left"/>
      <w:pPr>
        <w:ind w:left="6120"/>
      </w:pPr>
      <w:rPr>
        <w:rFonts w:ascii="Calibri" w:eastAsia="Calibri" w:hAnsi="Calibri" w:cs="Calibri"/>
        <w:b w:val="0"/>
        <w:i w:val="0"/>
        <w:strike w:val="0"/>
        <w:dstrike w:val="0"/>
        <w:color w:val="0E1033"/>
        <w:sz w:val="19"/>
        <w:szCs w:val="19"/>
        <w:u w:val="none" w:color="000000"/>
        <w:bdr w:val="none" w:sz="0" w:space="0" w:color="auto"/>
        <w:shd w:val="clear" w:color="auto" w:fill="auto"/>
        <w:vertAlign w:val="baseline"/>
      </w:rPr>
    </w:lvl>
  </w:abstractNum>
  <w:abstractNum w:abstractNumId="58" w15:restartNumberingAfterBreak="0">
    <w:nsid w:val="7184190F"/>
    <w:multiLevelType w:val="hybridMultilevel"/>
    <w:tmpl w:val="2ABE26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0" w15:restartNumberingAfterBreak="0">
    <w:nsid w:val="782C0D74"/>
    <w:multiLevelType w:val="hybridMultilevel"/>
    <w:tmpl w:val="2444A3A0"/>
    <w:lvl w:ilvl="0" w:tplc="7C28AC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A5F51BD"/>
    <w:multiLevelType w:val="hybridMultilevel"/>
    <w:tmpl w:val="8E4A25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ABE2012"/>
    <w:multiLevelType w:val="hybridMultilevel"/>
    <w:tmpl w:val="238AC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23"/>
  </w:num>
  <w:num w:numId="2" w16cid:durableId="436947581">
    <w:abstractNumId w:val="5"/>
  </w:num>
  <w:num w:numId="3" w16cid:durableId="75826877">
    <w:abstractNumId w:val="4"/>
  </w:num>
  <w:num w:numId="4" w16cid:durableId="306322255">
    <w:abstractNumId w:val="3"/>
  </w:num>
  <w:num w:numId="5" w16cid:durableId="75978829">
    <w:abstractNumId w:val="27"/>
  </w:num>
  <w:num w:numId="6" w16cid:durableId="932514008">
    <w:abstractNumId w:val="2"/>
  </w:num>
  <w:num w:numId="7" w16cid:durableId="1936595011">
    <w:abstractNumId w:val="1"/>
  </w:num>
  <w:num w:numId="8" w16cid:durableId="499849793">
    <w:abstractNumId w:val="0"/>
  </w:num>
  <w:num w:numId="9" w16cid:durableId="1493595375">
    <w:abstractNumId w:val="26"/>
  </w:num>
  <w:num w:numId="10" w16cid:durableId="1807892893">
    <w:abstractNumId w:val="14"/>
  </w:num>
  <w:num w:numId="11" w16cid:durableId="1829053031">
    <w:abstractNumId w:val="55"/>
  </w:num>
  <w:num w:numId="12" w16cid:durableId="1117526806">
    <w:abstractNumId w:val="22"/>
  </w:num>
  <w:num w:numId="13" w16cid:durableId="21294643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7"/>
  </w:num>
  <w:num w:numId="15" w16cid:durableId="158424565">
    <w:abstractNumId w:val="6"/>
  </w:num>
  <w:num w:numId="16" w16cid:durableId="807010820">
    <w:abstractNumId w:val="59"/>
  </w:num>
  <w:num w:numId="17" w16cid:durableId="801265162">
    <w:abstractNumId w:val="33"/>
  </w:num>
  <w:num w:numId="18" w16cid:durableId="1928150622">
    <w:abstractNumId w:val="16"/>
  </w:num>
  <w:num w:numId="19" w16cid:durableId="476995438">
    <w:abstractNumId w:val="47"/>
  </w:num>
  <w:num w:numId="20" w16cid:durableId="85083229">
    <w:abstractNumId w:val="24"/>
  </w:num>
  <w:num w:numId="21" w16cid:durableId="44331517">
    <w:abstractNumId w:val="31"/>
  </w:num>
  <w:num w:numId="22" w16cid:durableId="649361811">
    <w:abstractNumId w:val="60"/>
  </w:num>
  <w:num w:numId="23" w16cid:durableId="312177639">
    <w:abstractNumId w:val="36"/>
  </w:num>
  <w:num w:numId="24" w16cid:durableId="48918659">
    <w:abstractNumId w:val="21"/>
  </w:num>
  <w:num w:numId="25" w16cid:durableId="1061060185">
    <w:abstractNumId w:val="61"/>
  </w:num>
  <w:num w:numId="26" w16cid:durableId="1924534585">
    <w:abstractNumId w:val="12"/>
  </w:num>
  <w:num w:numId="27" w16cid:durableId="2081126624">
    <w:abstractNumId w:val="34"/>
  </w:num>
  <w:num w:numId="28" w16cid:durableId="1954440564">
    <w:abstractNumId w:val="46"/>
  </w:num>
  <w:num w:numId="29" w16cid:durableId="898978524">
    <w:abstractNumId w:val="62"/>
  </w:num>
  <w:num w:numId="30" w16cid:durableId="511459276">
    <w:abstractNumId w:val="35"/>
  </w:num>
  <w:num w:numId="31" w16cid:durableId="1818568713">
    <w:abstractNumId w:val="18"/>
  </w:num>
  <w:num w:numId="32" w16cid:durableId="217595915">
    <w:abstractNumId w:val="20"/>
  </w:num>
  <w:num w:numId="33" w16cid:durableId="2081555426">
    <w:abstractNumId w:val="19"/>
  </w:num>
  <w:num w:numId="34" w16cid:durableId="207958508">
    <w:abstractNumId w:val="53"/>
  </w:num>
  <w:num w:numId="35" w16cid:durableId="1011955347">
    <w:abstractNumId w:val="54"/>
  </w:num>
  <w:num w:numId="36" w16cid:durableId="1502313569">
    <w:abstractNumId w:val="45"/>
  </w:num>
  <w:num w:numId="37" w16cid:durableId="1670719486">
    <w:abstractNumId w:val="58"/>
  </w:num>
  <w:num w:numId="38" w16cid:durableId="2073387029">
    <w:abstractNumId w:val="39"/>
  </w:num>
  <w:num w:numId="39" w16cid:durableId="2119644668">
    <w:abstractNumId w:val="42"/>
  </w:num>
  <w:num w:numId="40" w16cid:durableId="1852068912">
    <w:abstractNumId w:val="7"/>
  </w:num>
  <w:num w:numId="41" w16cid:durableId="1356418202">
    <w:abstractNumId w:val="13"/>
  </w:num>
  <w:num w:numId="42" w16cid:durableId="1549610957">
    <w:abstractNumId w:val="10"/>
  </w:num>
  <w:num w:numId="43" w16cid:durableId="276182841">
    <w:abstractNumId w:val="44"/>
  </w:num>
  <w:num w:numId="44" w16cid:durableId="1563365891">
    <w:abstractNumId w:val="30"/>
  </w:num>
  <w:num w:numId="45" w16cid:durableId="2142991648">
    <w:abstractNumId w:val="49"/>
  </w:num>
  <w:num w:numId="46" w16cid:durableId="295453021">
    <w:abstractNumId w:val="38"/>
  </w:num>
  <w:num w:numId="47" w16cid:durableId="1187717958">
    <w:abstractNumId w:val="37"/>
  </w:num>
  <w:num w:numId="48" w16cid:durableId="1408378411">
    <w:abstractNumId w:val="56"/>
  </w:num>
  <w:num w:numId="49" w16cid:durableId="161438746">
    <w:abstractNumId w:val="29"/>
  </w:num>
  <w:num w:numId="50" w16cid:durableId="1842428674">
    <w:abstractNumId w:val="28"/>
  </w:num>
  <w:num w:numId="51" w16cid:durableId="313027982">
    <w:abstractNumId w:val="52"/>
  </w:num>
  <w:num w:numId="52" w16cid:durableId="1188563025">
    <w:abstractNumId w:val="48"/>
  </w:num>
  <w:num w:numId="53" w16cid:durableId="1978871888">
    <w:abstractNumId w:val="50"/>
  </w:num>
  <w:num w:numId="54" w16cid:durableId="1004238458">
    <w:abstractNumId w:val="9"/>
  </w:num>
  <w:num w:numId="55" w16cid:durableId="2048138695">
    <w:abstractNumId w:val="32"/>
  </w:num>
  <w:num w:numId="56" w16cid:durableId="2070030320">
    <w:abstractNumId w:val="11"/>
  </w:num>
  <w:num w:numId="57" w16cid:durableId="1647931085">
    <w:abstractNumId w:val="15"/>
  </w:num>
  <w:num w:numId="58" w16cid:durableId="937249989">
    <w:abstractNumId w:val="25"/>
  </w:num>
  <w:num w:numId="59" w16cid:durableId="767627954">
    <w:abstractNumId w:val="40"/>
  </w:num>
  <w:num w:numId="60" w16cid:durableId="1649094616">
    <w:abstractNumId w:val="57"/>
  </w:num>
  <w:num w:numId="61" w16cid:durableId="1357468662">
    <w:abstractNumId w:val="43"/>
  </w:num>
  <w:num w:numId="62" w16cid:durableId="1885218315">
    <w:abstractNumId w:val="8"/>
  </w:num>
  <w:num w:numId="63" w16cid:durableId="1730303264">
    <w:abstractNumId w:val="51"/>
  </w:num>
  <w:num w:numId="64" w16cid:durableId="1708018864">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048"/>
    <w:rsid w:val="00001C76"/>
    <w:rsid w:val="00001E94"/>
    <w:rsid w:val="000038E4"/>
    <w:rsid w:val="00004D6F"/>
    <w:rsid w:val="00005D4C"/>
    <w:rsid w:val="000063BF"/>
    <w:rsid w:val="00006E3E"/>
    <w:rsid w:val="00007C2A"/>
    <w:rsid w:val="00007F11"/>
    <w:rsid w:val="00012366"/>
    <w:rsid w:val="00012F80"/>
    <w:rsid w:val="000133EA"/>
    <w:rsid w:val="00014927"/>
    <w:rsid w:val="00015B2E"/>
    <w:rsid w:val="0001670A"/>
    <w:rsid w:val="0001731B"/>
    <w:rsid w:val="00017F64"/>
    <w:rsid w:val="00021AC7"/>
    <w:rsid w:val="00021FBE"/>
    <w:rsid w:val="000239CF"/>
    <w:rsid w:val="00024D9B"/>
    <w:rsid w:val="00025830"/>
    <w:rsid w:val="000269A5"/>
    <w:rsid w:val="00026D85"/>
    <w:rsid w:val="0003051D"/>
    <w:rsid w:val="00031254"/>
    <w:rsid w:val="00033184"/>
    <w:rsid w:val="0003367B"/>
    <w:rsid w:val="00033AD1"/>
    <w:rsid w:val="00034685"/>
    <w:rsid w:val="000371BA"/>
    <w:rsid w:val="000400DE"/>
    <w:rsid w:val="000404E9"/>
    <w:rsid w:val="000422BC"/>
    <w:rsid w:val="00047CC2"/>
    <w:rsid w:val="00050782"/>
    <w:rsid w:val="000521D7"/>
    <w:rsid w:val="00054159"/>
    <w:rsid w:val="000546E3"/>
    <w:rsid w:val="0005492B"/>
    <w:rsid w:val="00054EFB"/>
    <w:rsid w:val="00055061"/>
    <w:rsid w:val="0005530F"/>
    <w:rsid w:val="000557D6"/>
    <w:rsid w:val="00057720"/>
    <w:rsid w:val="00057CF0"/>
    <w:rsid w:val="000610C1"/>
    <w:rsid w:val="0006179B"/>
    <w:rsid w:val="0006258A"/>
    <w:rsid w:val="000626EE"/>
    <w:rsid w:val="0006493D"/>
    <w:rsid w:val="0006604F"/>
    <w:rsid w:val="0007098A"/>
    <w:rsid w:val="00070EBE"/>
    <w:rsid w:val="000710A3"/>
    <w:rsid w:val="00072BB6"/>
    <w:rsid w:val="00073516"/>
    <w:rsid w:val="0007358F"/>
    <w:rsid w:val="00075CC3"/>
    <w:rsid w:val="0007727D"/>
    <w:rsid w:val="000777DB"/>
    <w:rsid w:val="000832F0"/>
    <w:rsid w:val="00083914"/>
    <w:rsid w:val="000859BB"/>
    <w:rsid w:val="00086F1C"/>
    <w:rsid w:val="00087295"/>
    <w:rsid w:val="0008E42E"/>
    <w:rsid w:val="0009078F"/>
    <w:rsid w:val="00090A1C"/>
    <w:rsid w:val="000913F9"/>
    <w:rsid w:val="000924DC"/>
    <w:rsid w:val="000926DA"/>
    <w:rsid w:val="00092B3D"/>
    <w:rsid w:val="0009303A"/>
    <w:rsid w:val="00095E3B"/>
    <w:rsid w:val="000965FE"/>
    <w:rsid w:val="000A0B58"/>
    <w:rsid w:val="000A3E69"/>
    <w:rsid w:val="000A5931"/>
    <w:rsid w:val="000A6228"/>
    <w:rsid w:val="000B00AF"/>
    <w:rsid w:val="000B283B"/>
    <w:rsid w:val="000B350C"/>
    <w:rsid w:val="000B3951"/>
    <w:rsid w:val="000B39FD"/>
    <w:rsid w:val="000B5D40"/>
    <w:rsid w:val="000B5D95"/>
    <w:rsid w:val="000B6E19"/>
    <w:rsid w:val="000B74D9"/>
    <w:rsid w:val="000B7B65"/>
    <w:rsid w:val="000B7EC6"/>
    <w:rsid w:val="000C052B"/>
    <w:rsid w:val="000C1755"/>
    <w:rsid w:val="000C1E80"/>
    <w:rsid w:val="000C2550"/>
    <w:rsid w:val="000C2D88"/>
    <w:rsid w:val="000C2EF1"/>
    <w:rsid w:val="000C4996"/>
    <w:rsid w:val="000C4F01"/>
    <w:rsid w:val="000C5532"/>
    <w:rsid w:val="000C55DE"/>
    <w:rsid w:val="000C6B70"/>
    <w:rsid w:val="000C6D6C"/>
    <w:rsid w:val="000D0F38"/>
    <w:rsid w:val="000D195C"/>
    <w:rsid w:val="000D2D3E"/>
    <w:rsid w:val="000D3390"/>
    <w:rsid w:val="000D6EF6"/>
    <w:rsid w:val="000D7ED8"/>
    <w:rsid w:val="000E2784"/>
    <w:rsid w:val="000E29B7"/>
    <w:rsid w:val="000E3C15"/>
    <w:rsid w:val="000E49E8"/>
    <w:rsid w:val="000E4A15"/>
    <w:rsid w:val="000E6E65"/>
    <w:rsid w:val="000F0403"/>
    <w:rsid w:val="000F22AF"/>
    <w:rsid w:val="000F4BE4"/>
    <w:rsid w:val="000F5CAA"/>
    <w:rsid w:val="000F781B"/>
    <w:rsid w:val="00100191"/>
    <w:rsid w:val="00100884"/>
    <w:rsid w:val="0010354B"/>
    <w:rsid w:val="0010409D"/>
    <w:rsid w:val="00107D87"/>
    <w:rsid w:val="00107DD5"/>
    <w:rsid w:val="001102FF"/>
    <w:rsid w:val="00111C24"/>
    <w:rsid w:val="00113628"/>
    <w:rsid w:val="0011576C"/>
    <w:rsid w:val="00115A87"/>
    <w:rsid w:val="00116AB7"/>
    <w:rsid w:val="00116EF9"/>
    <w:rsid w:val="00120923"/>
    <w:rsid w:val="001210D7"/>
    <w:rsid w:val="00121127"/>
    <w:rsid w:val="001214F9"/>
    <w:rsid w:val="0012227B"/>
    <w:rsid w:val="001224F1"/>
    <w:rsid w:val="00122A85"/>
    <w:rsid w:val="00123425"/>
    <w:rsid w:val="0012343A"/>
    <w:rsid w:val="00123E26"/>
    <w:rsid w:val="00124CD2"/>
    <w:rsid w:val="001274FD"/>
    <w:rsid w:val="00130503"/>
    <w:rsid w:val="00131B42"/>
    <w:rsid w:val="00133B8D"/>
    <w:rsid w:val="00135F2C"/>
    <w:rsid w:val="0013611E"/>
    <w:rsid w:val="00136C7A"/>
    <w:rsid w:val="0013782F"/>
    <w:rsid w:val="00142591"/>
    <w:rsid w:val="001438E9"/>
    <w:rsid w:val="00143CC6"/>
    <w:rsid w:val="00143D0F"/>
    <w:rsid w:val="00143D5A"/>
    <w:rsid w:val="001463AF"/>
    <w:rsid w:val="00146A93"/>
    <w:rsid w:val="001507E9"/>
    <w:rsid w:val="0015092E"/>
    <w:rsid w:val="001515BF"/>
    <w:rsid w:val="00152FF4"/>
    <w:rsid w:val="00153FC7"/>
    <w:rsid w:val="00155E78"/>
    <w:rsid w:val="00156583"/>
    <w:rsid w:val="00157428"/>
    <w:rsid w:val="001578CA"/>
    <w:rsid w:val="001610E0"/>
    <w:rsid w:val="0016276C"/>
    <w:rsid w:val="001641E9"/>
    <w:rsid w:val="00167C0F"/>
    <w:rsid w:val="001708B1"/>
    <w:rsid w:val="00170BDF"/>
    <w:rsid w:val="00170D47"/>
    <w:rsid w:val="001711BB"/>
    <w:rsid w:val="0017134D"/>
    <w:rsid w:val="00171A29"/>
    <w:rsid w:val="00176783"/>
    <w:rsid w:val="00176F7C"/>
    <w:rsid w:val="00180BF6"/>
    <w:rsid w:val="00183AB4"/>
    <w:rsid w:val="00187D88"/>
    <w:rsid w:val="00190425"/>
    <w:rsid w:val="001959AB"/>
    <w:rsid w:val="001966C5"/>
    <w:rsid w:val="00196EBB"/>
    <w:rsid w:val="0019744A"/>
    <w:rsid w:val="001A0572"/>
    <w:rsid w:val="001A1E11"/>
    <w:rsid w:val="001A3AAB"/>
    <w:rsid w:val="001A3F5C"/>
    <w:rsid w:val="001A4E10"/>
    <w:rsid w:val="001B04BB"/>
    <w:rsid w:val="001B1F2E"/>
    <w:rsid w:val="001B480D"/>
    <w:rsid w:val="001B52E4"/>
    <w:rsid w:val="001B5741"/>
    <w:rsid w:val="001B5D50"/>
    <w:rsid w:val="001B758B"/>
    <w:rsid w:val="001B7C78"/>
    <w:rsid w:val="001C07B1"/>
    <w:rsid w:val="001C0ECA"/>
    <w:rsid w:val="001C1009"/>
    <w:rsid w:val="001C1523"/>
    <w:rsid w:val="001C324E"/>
    <w:rsid w:val="001C329F"/>
    <w:rsid w:val="001C344B"/>
    <w:rsid w:val="001C38F6"/>
    <w:rsid w:val="001C4A9F"/>
    <w:rsid w:val="001C5B27"/>
    <w:rsid w:val="001C5F1E"/>
    <w:rsid w:val="001D05EC"/>
    <w:rsid w:val="001D3CAE"/>
    <w:rsid w:val="001D521B"/>
    <w:rsid w:val="001D6E97"/>
    <w:rsid w:val="001D7343"/>
    <w:rsid w:val="001D796A"/>
    <w:rsid w:val="001E05BE"/>
    <w:rsid w:val="001E1C96"/>
    <w:rsid w:val="001E27F7"/>
    <w:rsid w:val="001E3292"/>
    <w:rsid w:val="001E331D"/>
    <w:rsid w:val="001E371E"/>
    <w:rsid w:val="001E3B0A"/>
    <w:rsid w:val="001E57C6"/>
    <w:rsid w:val="001E587A"/>
    <w:rsid w:val="001F0CF3"/>
    <w:rsid w:val="001F2590"/>
    <w:rsid w:val="001F2591"/>
    <w:rsid w:val="001F30DE"/>
    <w:rsid w:val="001F40C7"/>
    <w:rsid w:val="001F4B78"/>
    <w:rsid w:val="001F63A9"/>
    <w:rsid w:val="001F6F56"/>
    <w:rsid w:val="001F7B42"/>
    <w:rsid w:val="001F7FBD"/>
    <w:rsid w:val="00202443"/>
    <w:rsid w:val="00203B68"/>
    <w:rsid w:val="00211075"/>
    <w:rsid w:val="00211433"/>
    <w:rsid w:val="00211AAD"/>
    <w:rsid w:val="0021522F"/>
    <w:rsid w:val="0021683B"/>
    <w:rsid w:val="002203C1"/>
    <w:rsid w:val="002212F5"/>
    <w:rsid w:val="00221D8F"/>
    <w:rsid w:val="002226D0"/>
    <w:rsid w:val="002231EB"/>
    <w:rsid w:val="00223485"/>
    <w:rsid w:val="002265B0"/>
    <w:rsid w:val="00226AF9"/>
    <w:rsid w:val="002272DB"/>
    <w:rsid w:val="0022797A"/>
    <w:rsid w:val="00232BDA"/>
    <w:rsid w:val="0023319F"/>
    <w:rsid w:val="00233CF8"/>
    <w:rsid w:val="002344DE"/>
    <w:rsid w:val="0024181F"/>
    <w:rsid w:val="00242379"/>
    <w:rsid w:val="0024268E"/>
    <w:rsid w:val="00243F93"/>
    <w:rsid w:val="00244270"/>
    <w:rsid w:val="0024566D"/>
    <w:rsid w:val="002457E7"/>
    <w:rsid w:val="00245D04"/>
    <w:rsid w:val="00245E04"/>
    <w:rsid w:val="00246B1D"/>
    <w:rsid w:val="00247134"/>
    <w:rsid w:val="002477AB"/>
    <w:rsid w:val="00247D91"/>
    <w:rsid w:val="0025169D"/>
    <w:rsid w:val="00251D3E"/>
    <w:rsid w:val="002533C7"/>
    <w:rsid w:val="002566B2"/>
    <w:rsid w:val="002567D3"/>
    <w:rsid w:val="00257010"/>
    <w:rsid w:val="002606F2"/>
    <w:rsid w:val="00263C1E"/>
    <w:rsid w:val="00264676"/>
    <w:rsid w:val="002656E1"/>
    <w:rsid w:val="0026681D"/>
    <w:rsid w:val="002675CE"/>
    <w:rsid w:val="00273310"/>
    <w:rsid w:val="00274B90"/>
    <w:rsid w:val="002754AE"/>
    <w:rsid w:val="00276047"/>
    <w:rsid w:val="00277735"/>
    <w:rsid w:val="00277AEC"/>
    <w:rsid w:val="0028064D"/>
    <w:rsid w:val="00282583"/>
    <w:rsid w:val="002826E2"/>
    <w:rsid w:val="00282BD1"/>
    <w:rsid w:val="002855A3"/>
    <w:rsid w:val="002875C1"/>
    <w:rsid w:val="00287A8F"/>
    <w:rsid w:val="00287F00"/>
    <w:rsid w:val="00291914"/>
    <w:rsid w:val="00292E36"/>
    <w:rsid w:val="00293307"/>
    <w:rsid w:val="00294AA8"/>
    <w:rsid w:val="00295036"/>
    <w:rsid w:val="00295264"/>
    <w:rsid w:val="00295322"/>
    <w:rsid w:val="00295BC2"/>
    <w:rsid w:val="00296945"/>
    <w:rsid w:val="002971DE"/>
    <w:rsid w:val="0029797C"/>
    <w:rsid w:val="002A1026"/>
    <w:rsid w:val="002A137C"/>
    <w:rsid w:val="002A179E"/>
    <w:rsid w:val="002A3060"/>
    <w:rsid w:val="002A337F"/>
    <w:rsid w:val="002A4458"/>
    <w:rsid w:val="002A4D74"/>
    <w:rsid w:val="002A5969"/>
    <w:rsid w:val="002A5ED7"/>
    <w:rsid w:val="002A7B2D"/>
    <w:rsid w:val="002A7B71"/>
    <w:rsid w:val="002B0509"/>
    <w:rsid w:val="002B075E"/>
    <w:rsid w:val="002B0976"/>
    <w:rsid w:val="002B1242"/>
    <w:rsid w:val="002B1494"/>
    <w:rsid w:val="002B492C"/>
    <w:rsid w:val="002B492F"/>
    <w:rsid w:val="002B5030"/>
    <w:rsid w:val="002B6336"/>
    <w:rsid w:val="002B63AF"/>
    <w:rsid w:val="002C0C7A"/>
    <w:rsid w:val="002C0DC8"/>
    <w:rsid w:val="002C1341"/>
    <w:rsid w:val="002C1AA1"/>
    <w:rsid w:val="002C1EEB"/>
    <w:rsid w:val="002C25B5"/>
    <w:rsid w:val="002C2A5E"/>
    <w:rsid w:val="002C35F4"/>
    <w:rsid w:val="002C4A2C"/>
    <w:rsid w:val="002C546D"/>
    <w:rsid w:val="002C6685"/>
    <w:rsid w:val="002C70E4"/>
    <w:rsid w:val="002C7DF7"/>
    <w:rsid w:val="002D03C7"/>
    <w:rsid w:val="002D116B"/>
    <w:rsid w:val="002D1430"/>
    <w:rsid w:val="002D1E6F"/>
    <w:rsid w:val="002D2D4C"/>
    <w:rsid w:val="002D3DBC"/>
    <w:rsid w:val="002D3E99"/>
    <w:rsid w:val="002D5209"/>
    <w:rsid w:val="002D589A"/>
    <w:rsid w:val="002D5D46"/>
    <w:rsid w:val="002D781C"/>
    <w:rsid w:val="002D7921"/>
    <w:rsid w:val="002E0EE1"/>
    <w:rsid w:val="002E3660"/>
    <w:rsid w:val="002E3C82"/>
    <w:rsid w:val="002E4233"/>
    <w:rsid w:val="002E425F"/>
    <w:rsid w:val="002E4995"/>
    <w:rsid w:val="002E5AC7"/>
    <w:rsid w:val="002E6C89"/>
    <w:rsid w:val="002E707F"/>
    <w:rsid w:val="002E7371"/>
    <w:rsid w:val="002F00B1"/>
    <w:rsid w:val="002F108D"/>
    <w:rsid w:val="002F32EC"/>
    <w:rsid w:val="002F4560"/>
    <w:rsid w:val="002F76AA"/>
    <w:rsid w:val="002F7BD3"/>
    <w:rsid w:val="003001E8"/>
    <w:rsid w:val="00302CB7"/>
    <w:rsid w:val="0030309C"/>
    <w:rsid w:val="003036B4"/>
    <w:rsid w:val="003047D8"/>
    <w:rsid w:val="00305EB1"/>
    <w:rsid w:val="003125EA"/>
    <w:rsid w:val="00312F88"/>
    <w:rsid w:val="00313C6F"/>
    <w:rsid w:val="003158DB"/>
    <w:rsid w:val="00316B96"/>
    <w:rsid w:val="003179CE"/>
    <w:rsid w:val="003201BA"/>
    <w:rsid w:val="00321276"/>
    <w:rsid w:val="00321806"/>
    <w:rsid w:val="00323D14"/>
    <w:rsid w:val="00326DFC"/>
    <w:rsid w:val="00330792"/>
    <w:rsid w:val="00331BE9"/>
    <w:rsid w:val="0033234E"/>
    <w:rsid w:val="00332496"/>
    <w:rsid w:val="00332DA5"/>
    <w:rsid w:val="0033321C"/>
    <w:rsid w:val="00334109"/>
    <w:rsid w:val="00337E9F"/>
    <w:rsid w:val="00340157"/>
    <w:rsid w:val="003412D3"/>
    <w:rsid w:val="00341DE1"/>
    <w:rsid w:val="00342A43"/>
    <w:rsid w:val="00342BEB"/>
    <w:rsid w:val="00342C92"/>
    <w:rsid w:val="00344016"/>
    <w:rsid w:val="003440AB"/>
    <w:rsid w:val="00346097"/>
    <w:rsid w:val="00347825"/>
    <w:rsid w:val="00347C8A"/>
    <w:rsid w:val="003509F2"/>
    <w:rsid w:val="00351CE3"/>
    <w:rsid w:val="00351F54"/>
    <w:rsid w:val="00352474"/>
    <w:rsid w:val="00352CC5"/>
    <w:rsid w:val="0035308E"/>
    <w:rsid w:val="00355A74"/>
    <w:rsid w:val="003576EB"/>
    <w:rsid w:val="00357ABA"/>
    <w:rsid w:val="00357D5C"/>
    <w:rsid w:val="003621AE"/>
    <w:rsid w:val="00362F27"/>
    <w:rsid w:val="003643E0"/>
    <w:rsid w:val="00366710"/>
    <w:rsid w:val="00366C1F"/>
    <w:rsid w:val="00366CE3"/>
    <w:rsid w:val="00371249"/>
    <w:rsid w:val="00374262"/>
    <w:rsid w:val="00374E44"/>
    <w:rsid w:val="00375EDE"/>
    <w:rsid w:val="0037674C"/>
    <w:rsid w:val="003779E7"/>
    <w:rsid w:val="00380375"/>
    <w:rsid w:val="003808BD"/>
    <w:rsid w:val="0038449C"/>
    <w:rsid w:val="00384FE0"/>
    <w:rsid w:val="00386F3E"/>
    <w:rsid w:val="00392983"/>
    <w:rsid w:val="00394436"/>
    <w:rsid w:val="00397455"/>
    <w:rsid w:val="003A02E6"/>
    <w:rsid w:val="003A1434"/>
    <w:rsid w:val="003A1A61"/>
    <w:rsid w:val="003A2A84"/>
    <w:rsid w:val="003A38DD"/>
    <w:rsid w:val="003A4CBE"/>
    <w:rsid w:val="003A5670"/>
    <w:rsid w:val="003A5AF7"/>
    <w:rsid w:val="003B0525"/>
    <w:rsid w:val="003B14FA"/>
    <w:rsid w:val="003B262D"/>
    <w:rsid w:val="003B3951"/>
    <w:rsid w:val="003B472C"/>
    <w:rsid w:val="003B4FBE"/>
    <w:rsid w:val="003B5CE2"/>
    <w:rsid w:val="003C01BF"/>
    <w:rsid w:val="003C24AB"/>
    <w:rsid w:val="003C2BDC"/>
    <w:rsid w:val="003C2D83"/>
    <w:rsid w:val="003C5969"/>
    <w:rsid w:val="003C59DF"/>
    <w:rsid w:val="003C5B5A"/>
    <w:rsid w:val="003D06E5"/>
    <w:rsid w:val="003D0A75"/>
    <w:rsid w:val="003D1183"/>
    <w:rsid w:val="003D18AB"/>
    <w:rsid w:val="003D19B4"/>
    <w:rsid w:val="003D1BF7"/>
    <w:rsid w:val="003D24A4"/>
    <w:rsid w:val="003D277D"/>
    <w:rsid w:val="003D3722"/>
    <w:rsid w:val="003D3FB6"/>
    <w:rsid w:val="003D7479"/>
    <w:rsid w:val="003E1A44"/>
    <w:rsid w:val="003E1AB8"/>
    <w:rsid w:val="003E1E92"/>
    <w:rsid w:val="003E3BE1"/>
    <w:rsid w:val="003E4A97"/>
    <w:rsid w:val="003E61A0"/>
    <w:rsid w:val="003E66CD"/>
    <w:rsid w:val="003E69F4"/>
    <w:rsid w:val="003E6D22"/>
    <w:rsid w:val="003E71E8"/>
    <w:rsid w:val="003E7C6C"/>
    <w:rsid w:val="003F1870"/>
    <w:rsid w:val="003F29A9"/>
    <w:rsid w:val="003F2E4D"/>
    <w:rsid w:val="003F2FA7"/>
    <w:rsid w:val="003F3148"/>
    <w:rsid w:val="003F5595"/>
    <w:rsid w:val="003F5635"/>
    <w:rsid w:val="003F5F5F"/>
    <w:rsid w:val="003F609A"/>
    <w:rsid w:val="003F6B52"/>
    <w:rsid w:val="003F704C"/>
    <w:rsid w:val="003F76CF"/>
    <w:rsid w:val="00400E47"/>
    <w:rsid w:val="0040155D"/>
    <w:rsid w:val="00401CF1"/>
    <w:rsid w:val="00402268"/>
    <w:rsid w:val="00402C0F"/>
    <w:rsid w:val="00403EE5"/>
    <w:rsid w:val="004063A4"/>
    <w:rsid w:val="00406F0E"/>
    <w:rsid w:val="00407FA0"/>
    <w:rsid w:val="00410585"/>
    <w:rsid w:val="00410E91"/>
    <w:rsid w:val="0041238D"/>
    <w:rsid w:val="00413666"/>
    <w:rsid w:val="004140AC"/>
    <w:rsid w:val="0041567C"/>
    <w:rsid w:val="004163D2"/>
    <w:rsid w:val="004167EB"/>
    <w:rsid w:val="0041713E"/>
    <w:rsid w:val="0041771C"/>
    <w:rsid w:val="004219C8"/>
    <w:rsid w:val="00421D3F"/>
    <w:rsid w:val="00422268"/>
    <w:rsid w:val="004231A8"/>
    <w:rsid w:val="00423785"/>
    <w:rsid w:val="0042431B"/>
    <w:rsid w:val="00424FA2"/>
    <w:rsid w:val="00426A86"/>
    <w:rsid w:val="004301F3"/>
    <w:rsid w:val="00430569"/>
    <w:rsid w:val="004305FC"/>
    <w:rsid w:val="00430BAE"/>
    <w:rsid w:val="00430CA1"/>
    <w:rsid w:val="00431463"/>
    <w:rsid w:val="00432539"/>
    <w:rsid w:val="00432F78"/>
    <w:rsid w:val="004336F2"/>
    <w:rsid w:val="004378C2"/>
    <w:rsid w:val="00437AFF"/>
    <w:rsid w:val="0044071D"/>
    <w:rsid w:val="00441296"/>
    <w:rsid w:val="00442674"/>
    <w:rsid w:val="00444D32"/>
    <w:rsid w:val="00446F86"/>
    <w:rsid w:val="00447E89"/>
    <w:rsid w:val="00452756"/>
    <w:rsid w:val="00452B47"/>
    <w:rsid w:val="00452D26"/>
    <w:rsid w:val="00452D7D"/>
    <w:rsid w:val="0045364C"/>
    <w:rsid w:val="00453C51"/>
    <w:rsid w:val="00453ED7"/>
    <w:rsid w:val="0045445F"/>
    <w:rsid w:val="00454F19"/>
    <w:rsid w:val="004561DE"/>
    <w:rsid w:val="004563AA"/>
    <w:rsid w:val="004606EC"/>
    <w:rsid w:val="004608D8"/>
    <w:rsid w:val="00460A2D"/>
    <w:rsid w:val="00461D6E"/>
    <w:rsid w:val="00462358"/>
    <w:rsid w:val="00462875"/>
    <w:rsid w:val="00462E34"/>
    <w:rsid w:val="004636FE"/>
    <w:rsid w:val="00465947"/>
    <w:rsid w:val="00467132"/>
    <w:rsid w:val="004701F7"/>
    <w:rsid w:val="00470C09"/>
    <w:rsid w:val="004720E7"/>
    <w:rsid w:val="00472770"/>
    <w:rsid w:val="004745E8"/>
    <w:rsid w:val="00474677"/>
    <w:rsid w:val="00474BC5"/>
    <w:rsid w:val="004751C7"/>
    <w:rsid w:val="0047762C"/>
    <w:rsid w:val="00477BAD"/>
    <w:rsid w:val="00480039"/>
    <w:rsid w:val="00480149"/>
    <w:rsid w:val="00482426"/>
    <w:rsid w:val="00482932"/>
    <w:rsid w:val="004838E9"/>
    <w:rsid w:val="00490F67"/>
    <w:rsid w:val="00492BAF"/>
    <w:rsid w:val="00492F5C"/>
    <w:rsid w:val="00493A6D"/>
    <w:rsid w:val="00495836"/>
    <w:rsid w:val="0049583C"/>
    <w:rsid w:val="004968DD"/>
    <w:rsid w:val="00496B71"/>
    <w:rsid w:val="00496CCF"/>
    <w:rsid w:val="00497464"/>
    <w:rsid w:val="004A06CD"/>
    <w:rsid w:val="004A1EA4"/>
    <w:rsid w:val="004A2511"/>
    <w:rsid w:val="004A2B6C"/>
    <w:rsid w:val="004A2CFA"/>
    <w:rsid w:val="004A41A6"/>
    <w:rsid w:val="004A42E2"/>
    <w:rsid w:val="004A4B6F"/>
    <w:rsid w:val="004A4CF9"/>
    <w:rsid w:val="004A6556"/>
    <w:rsid w:val="004A6D9A"/>
    <w:rsid w:val="004A7D0B"/>
    <w:rsid w:val="004B1660"/>
    <w:rsid w:val="004B1DDC"/>
    <w:rsid w:val="004B21C2"/>
    <w:rsid w:val="004B237E"/>
    <w:rsid w:val="004B2797"/>
    <w:rsid w:val="004B3B48"/>
    <w:rsid w:val="004B4419"/>
    <w:rsid w:val="004B4ED5"/>
    <w:rsid w:val="004B5A49"/>
    <w:rsid w:val="004B5B14"/>
    <w:rsid w:val="004B7367"/>
    <w:rsid w:val="004C0484"/>
    <w:rsid w:val="004C23EF"/>
    <w:rsid w:val="004C2A91"/>
    <w:rsid w:val="004C36B2"/>
    <w:rsid w:val="004C479F"/>
    <w:rsid w:val="004C5B76"/>
    <w:rsid w:val="004C5C7E"/>
    <w:rsid w:val="004C6548"/>
    <w:rsid w:val="004C6AC8"/>
    <w:rsid w:val="004C6E01"/>
    <w:rsid w:val="004C7F2B"/>
    <w:rsid w:val="004D20DC"/>
    <w:rsid w:val="004D2965"/>
    <w:rsid w:val="004D45C1"/>
    <w:rsid w:val="004D5B99"/>
    <w:rsid w:val="004D6CD2"/>
    <w:rsid w:val="004E0E83"/>
    <w:rsid w:val="004E241C"/>
    <w:rsid w:val="004E5985"/>
    <w:rsid w:val="004E70B2"/>
    <w:rsid w:val="004E787A"/>
    <w:rsid w:val="004E79E1"/>
    <w:rsid w:val="004E7BF3"/>
    <w:rsid w:val="004F1A3C"/>
    <w:rsid w:val="004F2FE4"/>
    <w:rsid w:val="004F332C"/>
    <w:rsid w:val="004F367F"/>
    <w:rsid w:val="004F43ED"/>
    <w:rsid w:val="004F6880"/>
    <w:rsid w:val="004F6AFE"/>
    <w:rsid w:val="004F6E2F"/>
    <w:rsid w:val="00501B4F"/>
    <w:rsid w:val="00501E84"/>
    <w:rsid w:val="0050262B"/>
    <w:rsid w:val="005029F2"/>
    <w:rsid w:val="005035B7"/>
    <w:rsid w:val="005040D4"/>
    <w:rsid w:val="00504453"/>
    <w:rsid w:val="00507985"/>
    <w:rsid w:val="00507999"/>
    <w:rsid w:val="00510353"/>
    <w:rsid w:val="00510790"/>
    <w:rsid w:val="0051147A"/>
    <w:rsid w:val="00512278"/>
    <w:rsid w:val="005141E0"/>
    <w:rsid w:val="005143E8"/>
    <w:rsid w:val="00514C62"/>
    <w:rsid w:val="00515D24"/>
    <w:rsid w:val="00515F3C"/>
    <w:rsid w:val="005163C9"/>
    <w:rsid w:val="00516ADD"/>
    <w:rsid w:val="00517974"/>
    <w:rsid w:val="00522BC6"/>
    <w:rsid w:val="005237F2"/>
    <w:rsid w:val="00523B1C"/>
    <w:rsid w:val="00525C74"/>
    <w:rsid w:val="00526957"/>
    <w:rsid w:val="00530DA6"/>
    <w:rsid w:val="00531AE5"/>
    <w:rsid w:val="00532AB1"/>
    <w:rsid w:val="00533022"/>
    <w:rsid w:val="005344B0"/>
    <w:rsid w:val="00534540"/>
    <w:rsid w:val="00534830"/>
    <w:rsid w:val="005355B4"/>
    <w:rsid w:val="00543099"/>
    <w:rsid w:val="00543F23"/>
    <w:rsid w:val="00544031"/>
    <w:rsid w:val="005449C8"/>
    <w:rsid w:val="00544BFE"/>
    <w:rsid w:val="00547872"/>
    <w:rsid w:val="00550DA7"/>
    <w:rsid w:val="0055342E"/>
    <w:rsid w:val="00553C1D"/>
    <w:rsid w:val="00555FC0"/>
    <w:rsid w:val="00557CBD"/>
    <w:rsid w:val="005609AA"/>
    <w:rsid w:val="005610D6"/>
    <w:rsid w:val="00561580"/>
    <w:rsid w:val="00561920"/>
    <w:rsid w:val="00561DE6"/>
    <w:rsid w:val="00565792"/>
    <w:rsid w:val="0056691B"/>
    <w:rsid w:val="00566E9A"/>
    <w:rsid w:val="00567387"/>
    <w:rsid w:val="00570CED"/>
    <w:rsid w:val="00574A1E"/>
    <w:rsid w:val="00575708"/>
    <w:rsid w:val="005759FC"/>
    <w:rsid w:val="005762BD"/>
    <w:rsid w:val="00576DE7"/>
    <w:rsid w:val="00576EA3"/>
    <w:rsid w:val="0057799B"/>
    <w:rsid w:val="005809DF"/>
    <w:rsid w:val="00581C9A"/>
    <w:rsid w:val="00582081"/>
    <w:rsid w:val="005835EE"/>
    <w:rsid w:val="00583B4D"/>
    <w:rsid w:val="00584449"/>
    <w:rsid w:val="00586057"/>
    <w:rsid w:val="00586571"/>
    <w:rsid w:val="00590386"/>
    <w:rsid w:val="005907EC"/>
    <w:rsid w:val="00591063"/>
    <w:rsid w:val="0059347C"/>
    <w:rsid w:val="0059524B"/>
    <w:rsid w:val="00595600"/>
    <w:rsid w:val="00595AC5"/>
    <w:rsid w:val="00595E04"/>
    <w:rsid w:val="005966C2"/>
    <w:rsid w:val="005972A0"/>
    <w:rsid w:val="005972C2"/>
    <w:rsid w:val="005974CC"/>
    <w:rsid w:val="005A0970"/>
    <w:rsid w:val="005A0DE3"/>
    <w:rsid w:val="005A2F99"/>
    <w:rsid w:val="005A35F0"/>
    <w:rsid w:val="005A39ED"/>
    <w:rsid w:val="005A46FF"/>
    <w:rsid w:val="005A5519"/>
    <w:rsid w:val="005A75C9"/>
    <w:rsid w:val="005B0905"/>
    <w:rsid w:val="005B187D"/>
    <w:rsid w:val="005B1E34"/>
    <w:rsid w:val="005B3B40"/>
    <w:rsid w:val="005B3C3C"/>
    <w:rsid w:val="005B48EF"/>
    <w:rsid w:val="005B5057"/>
    <w:rsid w:val="005B5D8E"/>
    <w:rsid w:val="005B6AE7"/>
    <w:rsid w:val="005B6EF9"/>
    <w:rsid w:val="005B79F0"/>
    <w:rsid w:val="005C00E6"/>
    <w:rsid w:val="005C015D"/>
    <w:rsid w:val="005C0EAB"/>
    <w:rsid w:val="005C1D6A"/>
    <w:rsid w:val="005C47DF"/>
    <w:rsid w:val="005C49F8"/>
    <w:rsid w:val="005C4EE2"/>
    <w:rsid w:val="005C7BC3"/>
    <w:rsid w:val="005C7E20"/>
    <w:rsid w:val="005D0133"/>
    <w:rsid w:val="005D0AA7"/>
    <w:rsid w:val="005D26F6"/>
    <w:rsid w:val="005D44A6"/>
    <w:rsid w:val="005D5A83"/>
    <w:rsid w:val="005D63FE"/>
    <w:rsid w:val="005E198D"/>
    <w:rsid w:val="005E1C59"/>
    <w:rsid w:val="005E331D"/>
    <w:rsid w:val="005E35BB"/>
    <w:rsid w:val="005E4294"/>
    <w:rsid w:val="005E4986"/>
    <w:rsid w:val="005E58DE"/>
    <w:rsid w:val="005E7A57"/>
    <w:rsid w:val="005F150F"/>
    <w:rsid w:val="005F2ED2"/>
    <w:rsid w:val="005F7710"/>
    <w:rsid w:val="00605077"/>
    <w:rsid w:val="006063CA"/>
    <w:rsid w:val="006075CE"/>
    <w:rsid w:val="00607A69"/>
    <w:rsid w:val="00607F66"/>
    <w:rsid w:val="006105B1"/>
    <w:rsid w:val="00610653"/>
    <w:rsid w:val="00611699"/>
    <w:rsid w:val="006133F7"/>
    <w:rsid w:val="00615239"/>
    <w:rsid w:val="00616E6E"/>
    <w:rsid w:val="00617C0F"/>
    <w:rsid w:val="0062083B"/>
    <w:rsid w:val="0062216C"/>
    <w:rsid w:val="00622A02"/>
    <w:rsid w:val="006232DC"/>
    <w:rsid w:val="00625F10"/>
    <w:rsid w:val="00626517"/>
    <w:rsid w:val="00626876"/>
    <w:rsid w:val="0063094F"/>
    <w:rsid w:val="00631F60"/>
    <w:rsid w:val="006322FC"/>
    <w:rsid w:val="006325EE"/>
    <w:rsid w:val="006326A7"/>
    <w:rsid w:val="0063315E"/>
    <w:rsid w:val="00633DE0"/>
    <w:rsid w:val="006340DC"/>
    <w:rsid w:val="0064101E"/>
    <w:rsid w:val="00641910"/>
    <w:rsid w:val="00642E0A"/>
    <w:rsid w:val="00643EC8"/>
    <w:rsid w:val="00646408"/>
    <w:rsid w:val="0064643C"/>
    <w:rsid w:val="00647138"/>
    <w:rsid w:val="006471D7"/>
    <w:rsid w:val="0065376E"/>
    <w:rsid w:val="006541C9"/>
    <w:rsid w:val="00655BD7"/>
    <w:rsid w:val="00655E54"/>
    <w:rsid w:val="006616CF"/>
    <w:rsid w:val="00661ADA"/>
    <w:rsid w:val="00662A62"/>
    <w:rsid w:val="0066366D"/>
    <w:rsid w:val="00664A22"/>
    <w:rsid w:val="00665B8C"/>
    <w:rsid w:val="00672B91"/>
    <w:rsid w:val="00672F9D"/>
    <w:rsid w:val="006742C3"/>
    <w:rsid w:val="00675270"/>
    <w:rsid w:val="00676182"/>
    <w:rsid w:val="00677679"/>
    <w:rsid w:val="00677DFB"/>
    <w:rsid w:val="00680537"/>
    <w:rsid w:val="00680CE5"/>
    <w:rsid w:val="006849BC"/>
    <w:rsid w:val="006850B8"/>
    <w:rsid w:val="0069171F"/>
    <w:rsid w:val="00692220"/>
    <w:rsid w:val="00692E8A"/>
    <w:rsid w:val="00692F34"/>
    <w:rsid w:val="00693161"/>
    <w:rsid w:val="00693305"/>
    <w:rsid w:val="006935C7"/>
    <w:rsid w:val="00693C10"/>
    <w:rsid w:val="006951BF"/>
    <w:rsid w:val="006A1D36"/>
    <w:rsid w:val="006A462D"/>
    <w:rsid w:val="006A47E3"/>
    <w:rsid w:val="006A51AD"/>
    <w:rsid w:val="006B1E6E"/>
    <w:rsid w:val="006B2A22"/>
    <w:rsid w:val="006B4126"/>
    <w:rsid w:val="006B5996"/>
    <w:rsid w:val="006B6C6D"/>
    <w:rsid w:val="006B711E"/>
    <w:rsid w:val="006C1C61"/>
    <w:rsid w:val="006C2503"/>
    <w:rsid w:val="006C2FF6"/>
    <w:rsid w:val="006C4A36"/>
    <w:rsid w:val="006C4E39"/>
    <w:rsid w:val="006C5F3F"/>
    <w:rsid w:val="006C62FF"/>
    <w:rsid w:val="006C75B4"/>
    <w:rsid w:val="006C7666"/>
    <w:rsid w:val="006C774E"/>
    <w:rsid w:val="006C7823"/>
    <w:rsid w:val="006D0461"/>
    <w:rsid w:val="006D086A"/>
    <w:rsid w:val="006D1465"/>
    <w:rsid w:val="006D2586"/>
    <w:rsid w:val="006D3F99"/>
    <w:rsid w:val="006D6795"/>
    <w:rsid w:val="006D67F3"/>
    <w:rsid w:val="006D7725"/>
    <w:rsid w:val="006D7D87"/>
    <w:rsid w:val="006E195B"/>
    <w:rsid w:val="006E1B9D"/>
    <w:rsid w:val="006E1C2D"/>
    <w:rsid w:val="006E3F4C"/>
    <w:rsid w:val="006E4027"/>
    <w:rsid w:val="006E53C2"/>
    <w:rsid w:val="006E5466"/>
    <w:rsid w:val="006E5679"/>
    <w:rsid w:val="006E6190"/>
    <w:rsid w:val="006E6254"/>
    <w:rsid w:val="006E67DB"/>
    <w:rsid w:val="006E7FC7"/>
    <w:rsid w:val="006F02BD"/>
    <w:rsid w:val="006F13AA"/>
    <w:rsid w:val="006F1CAA"/>
    <w:rsid w:val="006F1DD1"/>
    <w:rsid w:val="006F1FFF"/>
    <w:rsid w:val="006F2523"/>
    <w:rsid w:val="006F2BF9"/>
    <w:rsid w:val="006F2EC7"/>
    <w:rsid w:val="006F3036"/>
    <w:rsid w:val="006F38EF"/>
    <w:rsid w:val="006F3ECF"/>
    <w:rsid w:val="006F404F"/>
    <w:rsid w:val="006F50D3"/>
    <w:rsid w:val="006F5BB7"/>
    <w:rsid w:val="006F674C"/>
    <w:rsid w:val="006F68CA"/>
    <w:rsid w:val="006F6D10"/>
    <w:rsid w:val="00700605"/>
    <w:rsid w:val="00700D7B"/>
    <w:rsid w:val="007014AD"/>
    <w:rsid w:val="007020F7"/>
    <w:rsid w:val="007034CF"/>
    <w:rsid w:val="0070481B"/>
    <w:rsid w:val="00704878"/>
    <w:rsid w:val="00704EBC"/>
    <w:rsid w:val="00704F10"/>
    <w:rsid w:val="00706067"/>
    <w:rsid w:val="00707469"/>
    <w:rsid w:val="00710649"/>
    <w:rsid w:val="007113F3"/>
    <w:rsid w:val="00712B94"/>
    <w:rsid w:val="00712EF5"/>
    <w:rsid w:val="0071314E"/>
    <w:rsid w:val="0071322B"/>
    <w:rsid w:val="00713365"/>
    <w:rsid w:val="0071462F"/>
    <w:rsid w:val="007154F0"/>
    <w:rsid w:val="007170FA"/>
    <w:rsid w:val="0071737F"/>
    <w:rsid w:val="00717E22"/>
    <w:rsid w:val="00721CC2"/>
    <w:rsid w:val="00722C5D"/>
    <w:rsid w:val="007258EF"/>
    <w:rsid w:val="00725C54"/>
    <w:rsid w:val="0072676B"/>
    <w:rsid w:val="00726F51"/>
    <w:rsid w:val="0072775A"/>
    <w:rsid w:val="00731B37"/>
    <w:rsid w:val="007327A2"/>
    <w:rsid w:val="007341E0"/>
    <w:rsid w:val="00734383"/>
    <w:rsid w:val="0073544B"/>
    <w:rsid w:val="00737DD1"/>
    <w:rsid w:val="00740A0D"/>
    <w:rsid w:val="00741038"/>
    <w:rsid w:val="00742651"/>
    <w:rsid w:val="00742B07"/>
    <w:rsid w:val="00742CBB"/>
    <w:rsid w:val="00743118"/>
    <w:rsid w:val="00743B6E"/>
    <w:rsid w:val="00743F0E"/>
    <w:rsid w:val="00750F95"/>
    <w:rsid w:val="00751294"/>
    <w:rsid w:val="00751871"/>
    <w:rsid w:val="00751883"/>
    <w:rsid w:val="00752805"/>
    <w:rsid w:val="00754C60"/>
    <w:rsid w:val="00754F93"/>
    <w:rsid w:val="0075750C"/>
    <w:rsid w:val="007605B4"/>
    <w:rsid w:val="00760DFF"/>
    <w:rsid w:val="00760F24"/>
    <w:rsid w:val="007610DC"/>
    <w:rsid w:val="00763B00"/>
    <w:rsid w:val="00765EC9"/>
    <w:rsid w:val="00765FAF"/>
    <w:rsid w:val="00766078"/>
    <w:rsid w:val="00766220"/>
    <w:rsid w:val="00770015"/>
    <w:rsid w:val="00770943"/>
    <w:rsid w:val="0077209C"/>
    <w:rsid w:val="00773B01"/>
    <w:rsid w:val="00774C46"/>
    <w:rsid w:val="00777DF6"/>
    <w:rsid w:val="0078081E"/>
    <w:rsid w:val="00781733"/>
    <w:rsid w:val="00783454"/>
    <w:rsid w:val="00783FD8"/>
    <w:rsid w:val="00784701"/>
    <w:rsid w:val="00785B1E"/>
    <w:rsid w:val="007865D6"/>
    <w:rsid w:val="00790534"/>
    <w:rsid w:val="007917F1"/>
    <w:rsid w:val="0079414E"/>
    <w:rsid w:val="0079496E"/>
    <w:rsid w:val="00795D45"/>
    <w:rsid w:val="00796AB4"/>
    <w:rsid w:val="00796F40"/>
    <w:rsid w:val="00797256"/>
    <w:rsid w:val="00797A43"/>
    <w:rsid w:val="00797D5F"/>
    <w:rsid w:val="007A0059"/>
    <w:rsid w:val="007A1CFA"/>
    <w:rsid w:val="007A3A15"/>
    <w:rsid w:val="007A4133"/>
    <w:rsid w:val="007A5249"/>
    <w:rsid w:val="007A5420"/>
    <w:rsid w:val="007A5735"/>
    <w:rsid w:val="007A78D8"/>
    <w:rsid w:val="007B0537"/>
    <w:rsid w:val="007B16F5"/>
    <w:rsid w:val="007B1C17"/>
    <w:rsid w:val="007B2B19"/>
    <w:rsid w:val="007B2CA1"/>
    <w:rsid w:val="007B3405"/>
    <w:rsid w:val="007B372C"/>
    <w:rsid w:val="007B3AD0"/>
    <w:rsid w:val="007B3E17"/>
    <w:rsid w:val="007B44B3"/>
    <w:rsid w:val="007B6707"/>
    <w:rsid w:val="007B6B62"/>
    <w:rsid w:val="007B782F"/>
    <w:rsid w:val="007C083A"/>
    <w:rsid w:val="007C1FE3"/>
    <w:rsid w:val="007C2986"/>
    <w:rsid w:val="007C2EC5"/>
    <w:rsid w:val="007C2F17"/>
    <w:rsid w:val="007C3815"/>
    <w:rsid w:val="007C4861"/>
    <w:rsid w:val="007C544F"/>
    <w:rsid w:val="007C782A"/>
    <w:rsid w:val="007D00CD"/>
    <w:rsid w:val="007D05FE"/>
    <w:rsid w:val="007D0972"/>
    <w:rsid w:val="007D0ABC"/>
    <w:rsid w:val="007D2A43"/>
    <w:rsid w:val="007D391A"/>
    <w:rsid w:val="007D3EE4"/>
    <w:rsid w:val="007D47AF"/>
    <w:rsid w:val="007D51F6"/>
    <w:rsid w:val="007D5647"/>
    <w:rsid w:val="007D696D"/>
    <w:rsid w:val="007D6ADD"/>
    <w:rsid w:val="007D6F38"/>
    <w:rsid w:val="007D73D3"/>
    <w:rsid w:val="007E1405"/>
    <w:rsid w:val="007E164D"/>
    <w:rsid w:val="007E1B2A"/>
    <w:rsid w:val="007E22C2"/>
    <w:rsid w:val="007E3BED"/>
    <w:rsid w:val="007E461E"/>
    <w:rsid w:val="007E5475"/>
    <w:rsid w:val="007E554D"/>
    <w:rsid w:val="007E55CD"/>
    <w:rsid w:val="007E7BDC"/>
    <w:rsid w:val="007E7E2A"/>
    <w:rsid w:val="007F02E8"/>
    <w:rsid w:val="007F366E"/>
    <w:rsid w:val="007F5675"/>
    <w:rsid w:val="007F68CA"/>
    <w:rsid w:val="00801579"/>
    <w:rsid w:val="00801FA2"/>
    <w:rsid w:val="00802D4E"/>
    <w:rsid w:val="00803CF3"/>
    <w:rsid w:val="008042F5"/>
    <w:rsid w:val="00804F18"/>
    <w:rsid w:val="0080656A"/>
    <w:rsid w:val="00806685"/>
    <w:rsid w:val="00806D1A"/>
    <w:rsid w:val="00810318"/>
    <w:rsid w:val="00811370"/>
    <w:rsid w:val="00813C0B"/>
    <w:rsid w:val="00816402"/>
    <w:rsid w:val="008204E3"/>
    <w:rsid w:val="00822382"/>
    <w:rsid w:val="00824B08"/>
    <w:rsid w:val="0082514A"/>
    <w:rsid w:val="00830952"/>
    <w:rsid w:val="00831870"/>
    <w:rsid w:val="008321C1"/>
    <w:rsid w:val="008346EC"/>
    <w:rsid w:val="00835D4B"/>
    <w:rsid w:val="00836985"/>
    <w:rsid w:val="0084025F"/>
    <w:rsid w:val="00840D6E"/>
    <w:rsid w:val="00842EBD"/>
    <w:rsid w:val="008431FE"/>
    <w:rsid w:val="00843B64"/>
    <w:rsid w:val="00843C77"/>
    <w:rsid w:val="008450DF"/>
    <w:rsid w:val="0085169A"/>
    <w:rsid w:val="00854CB0"/>
    <w:rsid w:val="00856EE5"/>
    <w:rsid w:val="00856F21"/>
    <w:rsid w:val="0085720B"/>
    <w:rsid w:val="008602DD"/>
    <w:rsid w:val="00860E65"/>
    <w:rsid w:val="00861AFA"/>
    <w:rsid w:val="0086223E"/>
    <w:rsid w:val="00864089"/>
    <w:rsid w:val="008731A8"/>
    <w:rsid w:val="00876C87"/>
    <w:rsid w:val="00881FE5"/>
    <w:rsid w:val="00882582"/>
    <w:rsid w:val="00882725"/>
    <w:rsid w:val="00883253"/>
    <w:rsid w:val="00883EED"/>
    <w:rsid w:val="0088557B"/>
    <w:rsid w:val="00886959"/>
    <w:rsid w:val="00890A3F"/>
    <w:rsid w:val="008926DE"/>
    <w:rsid w:val="008945C7"/>
    <w:rsid w:val="00896BD5"/>
    <w:rsid w:val="00896F25"/>
    <w:rsid w:val="00897AD7"/>
    <w:rsid w:val="008A1873"/>
    <w:rsid w:val="008A25C9"/>
    <w:rsid w:val="008A2FB0"/>
    <w:rsid w:val="008A36E1"/>
    <w:rsid w:val="008A37A7"/>
    <w:rsid w:val="008A3948"/>
    <w:rsid w:val="008A3C0D"/>
    <w:rsid w:val="008A493D"/>
    <w:rsid w:val="008A7598"/>
    <w:rsid w:val="008A7D9A"/>
    <w:rsid w:val="008B01E9"/>
    <w:rsid w:val="008B0736"/>
    <w:rsid w:val="008B0882"/>
    <w:rsid w:val="008B2487"/>
    <w:rsid w:val="008B26F9"/>
    <w:rsid w:val="008B29A1"/>
    <w:rsid w:val="008B2D1F"/>
    <w:rsid w:val="008B37FF"/>
    <w:rsid w:val="008B6F3C"/>
    <w:rsid w:val="008B762A"/>
    <w:rsid w:val="008B7F57"/>
    <w:rsid w:val="008C012D"/>
    <w:rsid w:val="008C0927"/>
    <w:rsid w:val="008C0D36"/>
    <w:rsid w:val="008C0EA5"/>
    <w:rsid w:val="008C3596"/>
    <w:rsid w:val="008C46D5"/>
    <w:rsid w:val="008C47AD"/>
    <w:rsid w:val="008C49E2"/>
    <w:rsid w:val="008D08EA"/>
    <w:rsid w:val="008D1DC8"/>
    <w:rsid w:val="008D32FC"/>
    <w:rsid w:val="008D4219"/>
    <w:rsid w:val="008D4BB2"/>
    <w:rsid w:val="008D62FE"/>
    <w:rsid w:val="008D6A9A"/>
    <w:rsid w:val="008D6FC9"/>
    <w:rsid w:val="008E03D0"/>
    <w:rsid w:val="008E0F03"/>
    <w:rsid w:val="008E15A7"/>
    <w:rsid w:val="008E2FB1"/>
    <w:rsid w:val="008E3062"/>
    <w:rsid w:val="008E4531"/>
    <w:rsid w:val="008E453E"/>
    <w:rsid w:val="008E4D49"/>
    <w:rsid w:val="008E4E56"/>
    <w:rsid w:val="008E5957"/>
    <w:rsid w:val="008E5FBE"/>
    <w:rsid w:val="008E6C09"/>
    <w:rsid w:val="008E73B6"/>
    <w:rsid w:val="008E7EC6"/>
    <w:rsid w:val="008F1479"/>
    <w:rsid w:val="008F15D3"/>
    <w:rsid w:val="008F344E"/>
    <w:rsid w:val="008F370B"/>
    <w:rsid w:val="008F56C6"/>
    <w:rsid w:val="008F56C7"/>
    <w:rsid w:val="008F7B50"/>
    <w:rsid w:val="00900EA1"/>
    <w:rsid w:val="00902C98"/>
    <w:rsid w:val="00903CC6"/>
    <w:rsid w:val="00904B69"/>
    <w:rsid w:val="00905E6B"/>
    <w:rsid w:val="009061B8"/>
    <w:rsid w:val="009066A7"/>
    <w:rsid w:val="009066E4"/>
    <w:rsid w:val="00906976"/>
    <w:rsid w:val="00907091"/>
    <w:rsid w:val="00907629"/>
    <w:rsid w:val="00910ECA"/>
    <w:rsid w:val="009122B5"/>
    <w:rsid w:val="00912B70"/>
    <w:rsid w:val="00912CC5"/>
    <w:rsid w:val="009134E8"/>
    <w:rsid w:val="00915AFD"/>
    <w:rsid w:val="00915DBB"/>
    <w:rsid w:val="00920EDB"/>
    <w:rsid w:val="0092147E"/>
    <w:rsid w:val="00921AE0"/>
    <w:rsid w:val="00922675"/>
    <w:rsid w:val="00924BAE"/>
    <w:rsid w:val="00924EFA"/>
    <w:rsid w:val="00925983"/>
    <w:rsid w:val="0092659C"/>
    <w:rsid w:val="009273FA"/>
    <w:rsid w:val="0093056A"/>
    <w:rsid w:val="009308D3"/>
    <w:rsid w:val="00930A98"/>
    <w:rsid w:val="0093238C"/>
    <w:rsid w:val="00933A4E"/>
    <w:rsid w:val="009345FF"/>
    <w:rsid w:val="0093497C"/>
    <w:rsid w:val="00934DD8"/>
    <w:rsid w:val="009419F9"/>
    <w:rsid w:val="00943FBB"/>
    <w:rsid w:val="00944054"/>
    <w:rsid w:val="009446BA"/>
    <w:rsid w:val="00944A1C"/>
    <w:rsid w:val="00944CC6"/>
    <w:rsid w:val="00945E64"/>
    <w:rsid w:val="00946EA3"/>
    <w:rsid w:val="009502D7"/>
    <w:rsid w:val="00950B06"/>
    <w:rsid w:val="00950C06"/>
    <w:rsid w:val="00950E58"/>
    <w:rsid w:val="009510C9"/>
    <w:rsid w:val="00954D5D"/>
    <w:rsid w:val="00956403"/>
    <w:rsid w:val="009567B5"/>
    <w:rsid w:val="00956F23"/>
    <w:rsid w:val="0096179A"/>
    <w:rsid w:val="0096277B"/>
    <w:rsid w:val="00962874"/>
    <w:rsid w:val="00964149"/>
    <w:rsid w:val="0096426C"/>
    <w:rsid w:val="00965762"/>
    <w:rsid w:val="00965D8B"/>
    <w:rsid w:val="00966472"/>
    <w:rsid w:val="00970069"/>
    <w:rsid w:val="009711C4"/>
    <w:rsid w:val="0097174C"/>
    <w:rsid w:val="009721EB"/>
    <w:rsid w:val="009723A0"/>
    <w:rsid w:val="0097351E"/>
    <w:rsid w:val="00973E80"/>
    <w:rsid w:val="00975129"/>
    <w:rsid w:val="00976643"/>
    <w:rsid w:val="009804DB"/>
    <w:rsid w:val="009823DA"/>
    <w:rsid w:val="0098304C"/>
    <w:rsid w:val="009847CF"/>
    <w:rsid w:val="0098695B"/>
    <w:rsid w:val="00987CD2"/>
    <w:rsid w:val="009900B7"/>
    <w:rsid w:val="00990822"/>
    <w:rsid w:val="009911EA"/>
    <w:rsid w:val="0099349F"/>
    <w:rsid w:val="00993BA7"/>
    <w:rsid w:val="00994175"/>
    <w:rsid w:val="009A06EF"/>
    <w:rsid w:val="009A082F"/>
    <w:rsid w:val="009A2848"/>
    <w:rsid w:val="009A467E"/>
    <w:rsid w:val="009A573B"/>
    <w:rsid w:val="009B02B5"/>
    <w:rsid w:val="009B02BB"/>
    <w:rsid w:val="009B03AB"/>
    <w:rsid w:val="009B064B"/>
    <w:rsid w:val="009B067E"/>
    <w:rsid w:val="009B0EBE"/>
    <w:rsid w:val="009B3132"/>
    <w:rsid w:val="009B4996"/>
    <w:rsid w:val="009B4BDD"/>
    <w:rsid w:val="009B5A30"/>
    <w:rsid w:val="009B706E"/>
    <w:rsid w:val="009B7AA0"/>
    <w:rsid w:val="009C029B"/>
    <w:rsid w:val="009C08F9"/>
    <w:rsid w:val="009C18D3"/>
    <w:rsid w:val="009C2573"/>
    <w:rsid w:val="009C3CBE"/>
    <w:rsid w:val="009C4027"/>
    <w:rsid w:val="009C423A"/>
    <w:rsid w:val="009C575D"/>
    <w:rsid w:val="009C63F7"/>
    <w:rsid w:val="009C66D5"/>
    <w:rsid w:val="009C7033"/>
    <w:rsid w:val="009D0D97"/>
    <w:rsid w:val="009D3240"/>
    <w:rsid w:val="009D599A"/>
    <w:rsid w:val="009D67BE"/>
    <w:rsid w:val="009D68FA"/>
    <w:rsid w:val="009D7025"/>
    <w:rsid w:val="009E00BF"/>
    <w:rsid w:val="009E01F9"/>
    <w:rsid w:val="009E090B"/>
    <w:rsid w:val="009E0B26"/>
    <w:rsid w:val="009E1430"/>
    <w:rsid w:val="009E3895"/>
    <w:rsid w:val="009E6994"/>
    <w:rsid w:val="009E6E48"/>
    <w:rsid w:val="009E79ED"/>
    <w:rsid w:val="009F046C"/>
    <w:rsid w:val="009F1DE4"/>
    <w:rsid w:val="009F1E02"/>
    <w:rsid w:val="009F2556"/>
    <w:rsid w:val="009F286A"/>
    <w:rsid w:val="009F2A4F"/>
    <w:rsid w:val="009F372A"/>
    <w:rsid w:val="009F4204"/>
    <w:rsid w:val="009F4768"/>
    <w:rsid w:val="009F4793"/>
    <w:rsid w:val="009F4CAC"/>
    <w:rsid w:val="009F5944"/>
    <w:rsid w:val="009F5A98"/>
    <w:rsid w:val="009F5BEC"/>
    <w:rsid w:val="009F684B"/>
    <w:rsid w:val="009F6DF6"/>
    <w:rsid w:val="009F7A59"/>
    <w:rsid w:val="00A01455"/>
    <w:rsid w:val="00A014A5"/>
    <w:rsid w:val="00A01B52"/>
    <w:rsid w:val="00A01CAF"/>
    <w:rsid w:val="00A03225"/>
    <w:rsid w:val="00A07596"/>
    <w:rsid w:val="00A07C17"/>
    <w:rsid w:val="00A10BA5"/>
    <w:rsid w:val="00A10D8E"/>
    <w:rsid w:val="00A112C6"/>
    <w:rsid w:val="00A12BFD"/>
    <w:rsid w:val="00A14A0A"/>
    <w:rsid w:val="00A159C5"/>
    <w:rsid w:val="00A163E8"/>
    <w:rsid w:val="00A17744"/>
    <w:rsid w:val="00A17A08"/>
    <w:rsid w:val="00A229FB"/>
    <w:rsid w:val="00A22D15"/>
    <w:rsid w:val="00A234F7"/>
    <w:rsid w:val="00A23615"/>
    <w:rsid w:val="00A23DAF"/>
    <w:rsid w:val="00A24D44"/>
    <w:rsid w:val="00A264FA"/>
    <w:rsid w:val="00A2753F"/>
    <w:rsid w:val="00A2770A"/>
    <w:rsid w:val="00A33222"/>
    <w:rsid w:val="00A35101"/>
    <w:rsid w:val="00A35181"/>
    <w:rsid w:val="00A35C29"/>
    <w:rsid w:val="00A35D59"/>
    <w:rsid w:val="00A36069"/>
    <w:rsid w:val="00A363EF"/>
    <w:rsid w:val="00A36464"/>
    <w:rsid w:val="00A369D4"/>
    <w:rsid w:val="00A36D04"/>
    <w:rsid w:val="00A376D1"/>
    <w:rsid w:val="00A37C07"/>
    <w:rsid w:val="00A37FAF"/>
    <w:rsid w:val="00A40AEF"/>
    <w:rsid w:val="00A41284"/>
    <w:rsid w:val="00A434A3"/>
    <w:rsid w:val="00A4390A"/>
    <w:rsid w:val="00A43A39"/>
    <w:rsid w:val="00A43AAD"/>
    <w:rsid w:val="00A44051"/>
    <w:rsid w:val="00A441E4"/>
    <w:rsid w:val="00A445DC"/>
    <w:rsid w:val="00A45318"/>
    <w:rsid w:val="00A47614"/>
    <w:rsid w:val="00A501CB"/>
    <w:rsid w:val="00A521E3"/>
    <w:rsid w:val="00A52243"/>
    <w:rsid w:val="00A53BA0"/>
    <w:rsid w:val="00A54102"/>
    <w:rsid w:val="00A54778"/>
    <w:rsid w:val="00A54D1E"/>
    <w:rsid w:val="00A5509C"/>
    <w:rsid w:val="00A55E75"/>
    <w:rsid w:val="00A5752F"/>
    <w:rsid w:val="00A57E77"/>
    <w:rsid w:val="00A60673"/>
    <w:rsid w:val="00A60B30"/>
    <w:rsid w:val="00A64C5D"/>
    <w:rsid w:val="00A66C19"/>
    <w:rsid w:val="00A6768A"/>
    <w:rsid w:val="00A67C2B"/>
    <w:rsid w:val="00A67E49"/>
    <w:rsid w:val="00A67F9B"/>
    <w:rsid w:val="00A7076F"/>
    <w:rsid w:val="00A70A53"/>
    <w:rsid w:val="00A70E34"/>
    <w:rsid w:val="00A7124B"/>
    <w:rsid w:val="00A73351"/>
    <w:rsid w:val="00A733C9"/>
    <w:rsid w:val="00A75178"/>
    <w:rsid w:val="00A7604D"/>
    <w:rsid w:val="00A76C3E"/>
    <w:rsid w:val="00A77BD0"/>
    <w:rsid w:val="00A77F47"/>
    <w:rsid w:val="00A80742"/>
    <w:rsid w:val="00A8107F"/>
    <w:rsid w:val="00A826C3"/>
    <w:rsid w:val="00A82CDB"/>
    <w:rsid w:val="00A83C5D"/>
    <w:rsid w:val="00A84D70"/>
    <w:rsid w:val="00A853AC"/>
    <w:rsid w:val="00A8540C"/>
    <w:rsid w:val="00A8625E"/>
    <w:rsid w:val="00A86F0A"/>
    <w:rsid w:val="00A90F65"/>
    <w:rsid w:val="00A9140C"/>
    <w:rsid w:val="00A91FC6"/>
    <w:rsid w:val="00A922F9"/>
    <w:rsid w:val="00A92495"/>
    <w:rsid w:val="00A93566"/>
    <w:rsid w:val="00A94F62"/>
    <w:rsid w:val="00A9523D"/>
    <w:rsid w:val="00A96986"/>
    <w:rsid w:val="00A97746"/>
    <w:rsid w:val="00A97872"/>
    <w:rsid w:val="00A97C90"/>
    <w:rsid w:val="00A97E8D"/>
    <w:rsid w:val="00AA1E77"/>
    <w:rsid w:val="00AA465B"/>
    <w:rsid w:val="00AA4877"/>
    <w:rsid w:val="00AA5532"/>
    <w:rsid w:val="00AB0B9B"/>
    <w:rsid w:val="00AB1195"/>
    <w:rsid w:val="00AB1ED8"/>
    <w:rsid w:val="00AB1F26"/>
    <w:rsid w:val="00AB3FC2"/>
    <w:rsid w:val="00AB5188"/>
    <w:rsid w:val="00AB5C96"/>
    <w:rsid w:val="00AB6DC4"/>
    <w:rsid w:val="00AB7062"/>
    <w:rsid w:val="00AB7955"/>
    <w:rsid w:val="00AC1732"/>
    <w:rsid w:val="00AC1872"/>
    <w:rsid w:val="00AC2322"/>
    <w:rsid w:val="00AC4072"/>
    <w:rsid w:val="00AC62FF"/>
    <w:rsid w:val="00AC6ED0"/>
    <w:rsid w:val="00AD0F71"/>
    <w:rsid w:val="00AD1263"/>
    <w:rsid w:val="00AD1FBA"/>
    <w:rsid w:val="00AD2140"/>
    <w:rsid w:val="00AD229B"/>
    <w:rsid w:val="00AD4176"/>
    <w:rsid w:val="00AD499B"/>
    <w:rsid w:val="00AD631F"/>
    <w:rsid w:val="00AD6664"/>
    <w:rsid w:val="00AD766C"/>
    <w:rsid w:val="00AE1B39"/>
    <w:rsid w:val="00AE21FF"/>
    <w:rsid w:val="00AE2FEA"/>
    <w:rsid w:val="00AE3319"/>
    <w:rsid w:val="00AE59FC"/>
    <w:rsid w:val="00AE7095"/>
    <w:rsid w:val="00AF1F18"/>
    <w:rsid w:val="00AF2B98"/>
    <w:rsid w:val="00AF4BE1"/>
    <w:rsid w:val="00AF52FB"/>
    <w:rsid w:val="00AF5434"/>
    <w:rsid w:val="00AF5E1F"/>
    <w:rsid w:val="00AF6083"/>
    <w:rsid w:val="00AF667A"/>
    <w:rsid w:val="00B03D3A"/>
    <w:rsid w:val="00B045C4"/>
    <w:rsid w:val="00B05016"/>
    <w:rsid w:val="00B051B4"/>
    <w:rsid w:val="00B06E43"/>
    <w:rsid w:val="00B0726E"/>
    <w:rsid w:val="00B116AE"/>
    <w:rsid w:val="00B131B2"/>
    <w:rsid w:val="00B134AA"/>
    <w:rsid w:val="00B1403B"/>
    <w:rsid w:val="00B143BC"/>
    <w:rsid w:val="00B15474"/>
    <w:rsid w:val="00B15C00"/>
    <w:rsid w:val="00B16383"/>
    <w:rsid w:val="00B17E47"/>
    <w:rsid w:val="00B20FB1"/>
    <w:rsid w:val="00B219D1"/>
    <w:rsid w:val="00B23DC8"/>
    <w:rsid w:val="00B23F05"/>
    <w:rsid w:val="00B2489D"/>
    <w:rsid w:val="00B25757"/>
    <w:rsid w:val="00B25AE1"/>
    <w:rsid w:val="00B27A94"/>
    <w:rsid w:val="00B3035E"/>
    <w:rsid w:val="00B31D82"/>
    <w:rsid w:val="00B31DA6"/>
    <w:rsid w:val="00B32177"/>
    <w:rsid w:val="00B3351B"/>
    <w:rsid w:val="00B40086"/>
    <w:rsid w:val="00B406EA"/>
    <w:rsid w:val="00B44BEA"/>
    <w:rsid w:val="00B44D8B"/>
    <w:rsid w:val="00B45866"/>
    <w:rsid w:val="00B45DB6"/>
    <w:rsid w:val="00B47514"/>
    <w:rsid w:val="00B509B8"/>
    <w:rsid w:val="00B53A6B"/>
    <w:rsid w:val="00B53FC6"/>
    <w:rsid w:val="00B54933"/>
    <w:rsid w:val="00B54D0A"/>
    <w:rsid w:val="00B5734E"/>
    <w:rsid w:val="00B574B6"/>
    <w:rsid w:val="00B63070"/>
    <w:rsid w:val="00B640E0"/>
    <w:rsid w:val="00B6429D"/>
    <w:rsid w:val="00B65DBB"/>
    <w:rsid w:val="00B70476"/>
    <w:rsid w:val="00B708F5"/>
    <w:rsid w:val="00B709F0"/>
    <w:rsid w:val="00B71269"/>
    <w:rsid w:val="00B72B13"/>
    <w:rsid w:val="00B745B7"/>
    <w:rsid w:val="00B74857"/>
    <w:rsid w:val="00B757CC"/>
    <w:rsid w:val="00B75985"/>
    <w:rsid w:val="00B763A2"/>
    <w:rsid w:val="00B764ED"/>
    <w:rsid w:val="00B76B6F"/>
    <w:rsid w:val="00B814E8"/>
    <w:rsid w:val="00B81D5D"/>
    <w:rsid w:val="00B81FA4"/>
    <w:rsid w:val="00B825EF"/>
    <w:rsid w:val="00B82C28"/>
    <w:rsid w:val="00B83688"/>
    <w:rsid w:val="00B86B06"/>
    <w:rsid w:val="00B87606"/>
    <w:rsid w:val="00B8772A"/>
    <w:rsid w:val="00B8786E"/>
    <w:rsid w:val="00B8794C"/>
    <w:rsid w:val="00B87CB1"/>
    <w:rsid w:val="00B91403"/>
    <w:rsid w:val="00B91F5C"/>
    <w:rsid w:val="00B92237"/>
    <w:rsid w:val="00B95EF4"/>
    <w:rsid w:val="00B96A77"/>
    <w:rsid w:val="00B9745D"/>
    <w:rsid w:val="00BA1C28"/>
    <w:rsid w:val="00BA23D3"/>
    <w:rsid w:val="00BA35D4"/>
    <w:rsid w:val="00BA6AC7"/>
    <w:rsid w:val="00BB1E33"/>
    <w:rsid w:val="00BB2B32"/>
    <w:rsid w:val="00BB39B5"/>
    <w:rsid w:val="00BB4B56"/>
    <w:rsid w:val="00BB6509"/>
    <w:rsid w:val="00BB68C0"/>
    <w:rsid w:val="00BB6A10"/>
    <w:rsid w:val="00BC01C3"/>
    <w:rsid w:val="00BC1F48"/>
    <w:rsid w:val="00BC2211"/>
    <w:rsid w:val="00BC248C"/>
    <w:rsid w:val="00BC2AEC"/>
    <w:rsid w:val="00BC3C61"/>
    <w:rsid w:val="00BC4AAE"/>
    <w:rsid w:val="00BC56C8"/>
    <w:rsid w:val="00BD1F8C"/>
    <w:rsid w:val="00BD322F"/>
    <w:rsid w:val="00BD4656"/>
    <w:rsid w:val="00BD497C"/>
    <w:rsid w:val="00BD5411"/>
    <w:rsid w:val="00BD5886"/>
    <w:rsid w:val="00BE12AC"/>
    <w:rsid w:val="00BE42A4"/>
    <w:rsid w:val="00BE5976"/>
    <w:rsid w:val="00BE70BA"/>
    <w:rsid w:val="00BF013F"/>
    <w:rsid w:val="00BF28F6"/>
    <w:rsid w:val="00BF290B"/>
    <w:rsid w:val="00BF31C1"/>
    <w:rsid w:val="00BF5FF9"/>
    <w:rsid w:val="00BF6561"/>
    <w:rsid w:val="00C00E60"/>
    <w:rsid w:val="00C00E78"/>
    <w:rsid w:val="00C01EC0"/>
    <w:rsid w:val="00C02C4D"/>
    <w:rsid w:val="00C0374F"/>
    <w:rsid w:val="00C10143"/>
    <w:rsid w:val="00C12710"/>
    <w:rsid w:val="00C13988"/>
    <w:rsid w:val="00C14979"/>
    <w:rsid w:val="00C15BF1"/>
    <w:rsid w:val="00C15DF9"/>
    <w:rsid w:val="00C167D1"/>
    <w:rsid w:val="00C16E25"/>
    <w:rsid w:val="00C17CBF"/>
    <w:rsid w:val="00C2176D"/>
    <w:rsid w:val="00C21839"/>
    <w:rsid w:val="00C23F4E"/>
    <w:rsid w:val="00C244EE"/>
    <w:rsid w:val="00C24D86"/>
    <w:rsid w:val="00C2658D"/>
    <w:rsid w:val="00C278FF"/>
    <w:rsid w:val="00C31CD4"/>
    <w:rsid w:val="00C34D6C"/>
    <w:rsid w:val="00C34E42"/>
    <w:rsid w:val="00C36FCA"/>
    <w:rsid w:val="00C37353"/>
    <w:rsid w:val="00C3778A"/>
    <w:rsid w:val="00C42207"/>
    <w:rsid w:val="00C436DC"/>
    <w:rsid w:val="00C43F5E"/>
    <w:rsid w:val="00C44406"/>
    <w:rsid w:val="00C44707"/>
    <w:rsid w:val="00C4499F"/>
    <w:rsid w:val="00C453EF"/>
    <w:rsid w:val="00C4553A"/>
    <w:rsid w:val="00C4603F"/>
    <w:rsid w:val="00C46A42"/>
    <w:rsid w:val="00C47940"/>
    <w:rsid w:val="00C47EC2"/>
    <w:rsid w:val="00C5049E"/>
    <w:rsid w:val="00C523C3"/>
    <w:rsid w:val="00C52EEB"/>
    <w:rsid w:val="00C53F4C"/>
    <w:rsid w:val="00C552C6"/>
    <w:rsid w:val="00C57848"/>
    <w:rsid w:val="00C57DB9"/>
    <w:rsid w:val="00C60925"/>
    <w:rsid w:val="00C60D3B"/>
    <w:rsid w:val="00C610EB"/>
    <w:rsid w:val="00C61BDD"/>
    <w:rsid w:val="00C625A1"/>
    <w:rsid w:val="00C63100"/>
    <w:rsid w:val="00C66729"/>
    <w:rsid w:val="00C679DF"/>
    <w:rsid w:val="00C67AC4"/>
    <w:rsid w:val="00C67DC3"/>
    <w:rsid w:val="00C71926"/>
    <w:rsid w:val="00C72224"/>
    <w:rsid w:val="00C72586"/>
    <w:rsid w:val="00C72A3C"/>
    <w:rsid w:val="00C75254"/>
    <w:rsid w:val="00C75706"/>
    <w:rsid w:val="00C7680A"/>
    <w:rsid w:val="00C76C34"/>
    <w:rsid w:val="00C77ACA"/>
    <w:rsid w:val="00C8081E"/>
    <w:rsid w:val="00C8167B"/>
    <w:rsid w:val="00C81D26"/>
    <w:rsid w:val="00C829DE"/>
    <w:rsid w:val="00C8445F"/>
    <w:rsid w:val="00C849BD"/>
    <w:rsid w:val="00C87AFD"/>
    <w:rsid w:val="00C902E5"/>
    <w:rsid w:val="00C905AF"/>
    <w:rsid w:val="00C91929"/>
    <w:rsid w:val="00C9245E"/>
    <w:rsid w:val="00C9559C"/>
    <w:rsid w:val="00C95673"/>
    <w:rsid w:val="00C96F62"/>
    <w:rsid w:val="00C97261"/>
    <w:rsid w:val="00C976DC"/>
    <w:rsid w:val="00CA14A9"/>
    <w:rsid w:val="00CA1503"/>
    <w:rsid w:val="00CA19A3"/>
    <w:rsid w:val="00CA27B7"/>
    <w:rsid w:val="00CA4815"/>
    <w:rsid w:val="00CA5119"/>
    <w:rsid w:val="00CA55AC"/>
    <w:rsid w:val="00CA5A73"/>
    <w:rsid w:val="00CA6D5B"/>
    <w:rsid w:val="00CB069E"/>
    <w:rsid w:val="00CB06A9"/>
    <w:rsid w:val="00CB0A39"/>
    <w:rsid w:val="00CB1617"/>
    <w:rsid w:val="00CB22F7"/>
    <w:rsid w:val="00CB2A18"/>
    <w:rsid w:val="00CB2E89"/>
    <w:rsid w:val="00CB4564"/>
    <w:rsid w:val="00CB4FE8"/>
    <w:rsid w:val="00CB6503"/>
    <w:rsid w:val="00CB7EFB"/>
    <w:rsid w:val="00CC0FAA"/>
    <w:rsid w:val="00CC32EC"/>
    <w:rsid w:val="00CC4604"/>
    <w:rsid w:val="00CC5BCD"/>
    <w:rsid w:val="00CC79AA"/>
    <w:rsid w:val="00CC7CDB"/>
    <w:rsid w:val="00CD1635"/>
    <w:rsid w:val="00CD1C5C"/>
    <w:rsid w:val="00CD2665"/>
    <w:rsid w:val="00CD2BD7"/>
    <w:rsid w:val="00CD45ED"/>
    <w:rsid w:val="00CD4EC7"/>
    <w:rsid w:val="00CD6033"/>
    <w:rsid w:val="00CE272F"/>
    <w:rsid w:val="00CE4D30"/>
    <w:rsid w:val="00CE6794"/>
    <w:rsid w:val="00CE786F"/>
    <w:rsid w:val="00CE7DD9"/>
    <w:rsid w:val="00CE7EED"/>
    <w:rsid w:val="00CE7F58"/>
    <w:rsid w:val="00CF1F0F"/>
    <w:rsid w:val="00CF3A88"/>
    <w:rsid w:val="00CF3AA9"/>
    <w:rsid w:val="00CF4065"/>
    <w:rsid w:val="00CF4163"/>
    <w:rsid w:val="00CF46BB"/>
    <w:rsid w:val="00CF6562"/>
    <w:rsid w:val="00CF7E2A"/>
    <w:rsid w:val="00D025F3"/>
    <w:rsid w:val="00D064AE"/>
    <w:rsid w:val="00D07295"/>
    <w:rsid w:val="00D1034E"/>
    <w:rsid w:val="00D13F35"/>
    <w:rsid w:val="00D14978"/>
    <w:rsid w:val="00D1528E"/>
    <w:rsid w:val="00D16513"/>
    <w:rsid w:val="00D16CE2"/>
    <w:rsid w:val="00D2173C"/>
    <w:rsid w:val="00D218BF"/>
    <w:rsid w:val="00D2293D"/>
    <w:rsid w:val="00D24B10"/>
    <w:rsid w:val="00D25D15"/>
    <w:rsid w:val="00D265A0"/>
    <w:rsid w:val="00D27C5B"/>
    <w:rsid w:val="00D27C6E"/>
    <w:rsid w:val="00D3037E"/>
    <w:rsid w:val="00D30CA8"/>
    <w:rsid w:val="00D3448C"/>
    <w:rsid w:val="00D36598"/>
    <w:rsid w:val="00D366CA"/>
    <w:rsid w:val="00D3682F"/>
    <w:rsid w:val="00D37475"/>
    <w:rsid w:val="00D4031E"/>
    <w:rsid w:val="00D44BB9"/>
    <w:rsid w:val="00D454D8"/>
    <w:rsid w:val="00D477F9"/>
    <w:rsid w:val="00D522A3"/>
    <w:rsid w:val="00D52B17"/>
    <w:rsid w:val="00D53278"/>
    <w:rsid w:val="00D55A0F"/>
    <w:rsid w:val="00D56716"/>
    <w:rsid w:val="00D5688A"/>
    <w:rsid w:val="00D576D4"/>
    <w:rsid w:val="00D60C05"/>
    <w:rsid w:val="00D61895"/>
    <w:rsid w:val="00D61E97"/>
    <w:rsid w:val="00D6459D"/>
    <w:rsid w:val="00D657A3"/>
    <w:rsid w:val="00D6736B"/>
    <w:rsid w:val="00D70CBB"/>
    <w:rsid w:val="00D71944"/>
    <w:rsid w:val="00D734EF"/>
    <w:rsid w:val="00D739B2"/>
    <w:rsid w:val="00D76293"/>
    <w:rsid w:val="00D77892"/>
    <w:rsid w:val="00D77C22"/>
    <w:rsid w:val="00D81C7E"/>
    <w:rsid w:val="00D83189"/>
    <w:rsid w:val="00D84378"/>
    <w:rsid w:val="00D903F5"/>
    <w:rsid w:val="00D934DC"/>
    <w:rsid w:val="00D97218"/>
    <w:rsid w:val="00DA2604"/>
    <w:rsid w:val="00DA26F4"/>
    <w:rsid w:val="00DA4F3D"/>
    <w:rsid w:val="00DA56DA"/>
    <w:rsid w:val="00DB1BD3"/>
    <w:rsid w:val="00DB3091"/>
    <w:rsid w:val="00DB4D25"/>
    <w:rsid w:val="00DB4D5E"/>
    <w:rsid w:val="00DB58E1"/>
    <w:rsid w:val="00DB590A"/>
    <w:rsid w:val="00DB6878"/>
    <w:rsid w:val="00DB7FA5"/>
    <w:rsid w:val="00DC0982"/>
    <w:rsid w:val="00DC23B8"/>
    <w:rsid w:val="00DC3353"/>
    <w:rsid w:val="00DC3C04"/>
    <w:rsid w:val="00DC4FF2"/>
    <w:rsid w:val="00DC5980"/>
    <w:rsid w:val="00DC615F"/>
    <w:rsid w:val="00DC69A8"/>
    <w:rsid w:val="00DC6D68"/>
    <w:rsid w:val="00DC701B"/>
    <w:rsid w:val="00DD08F0"/>
    <w:rsid w:val="00DD0B04"/>
    <w:rsid w:val="00DD0B22"/>
    <w:rsid w:val="00DD2B46"/>
    <w:rsid w:val="00DD38D4"/>
    <w:rsid w:val="00DD58EA"/>
    <w:rsid w:val="00DD5B9E"/>
    <w:rsid w:val="00DD5C71"/>
    <w:rsid w:val="00DE00CB"/>
    <w:rsid w:val="00DE1134"/>
    <w:rsid w:val="00DE29C4"/>
    <w:rsid w:val="00DE3AF9"/>
    <w:rsid w:val="00DE4F92"/>
    <w:rsid w:val="00DE6330"/>
    <w:rsid w:val="00DE6A3C"/>
    <w:rsid w:val="00DE6BF2"/>
    <w:rsid w:val="00DE6C5A"/>
    <w:rsid w:val="00DF0439"/>
    <w:rsid w:val="00DF0F0C"/>
    <w:rsid w:val="00DF23C6"/>
    <w:rsid w:val="00DF2EBB"/>
    <w:rsid w:val="00DF3112"/>
    <w:rsid w:val="00DF3EBE"/>
    <w:rsid w:val="00DF58B2"/>
    <w:rsid w:val="00E0033E"/>
    <w:rsid w:val="00E005F6"/>
    <w:rsid w:val="00E016B6"/>
    <w:rsid w:val="00E02864"/>
    <w:rsid w:val="00E03345"/>
    <w:rsid w:val="00E043A5"/>
    <w:rsid w:val="00E04639"/>
    <w:rsid w:val="00E05FC6"/>
    <w:rsid w:val="00E06740"/>
    <w:rsid w:val="00E1248A"/>
    <w:rsid w:val="00E1581F"/>
    <w:rsid w:val="00E15DD9"/>
    <w:rsid w:val="00E1754D"/>
    <w:rsid w:val="00E22549"/>
    <w:rsid w:val="00E23CE5"/>
    <w:rsid w:val="00E24678"/>
    <w:rsid w:val="00E24A8E"/>
    <w:rsid w:val="00E26910"/>
    <w:rsid w:val="00E26CFD"/>
    <w:rsid w:val="00E2709E"/>
    <w:rsid w:val="00E27840"/>
    <w:rsid w:val="00E303AA"/>
    <w:rsid w:val="00E31E08"/>
    <w:rsid w:val="00E320DD"/>
    <w:rsid w:val="00E3256F"/>
    <w:rsid w:val="00E32D48"/>
    <w:rsid w:val="00E32F3B"/>
    <w:rsid w:val="00E33707"/>
    <w:rsid w:val="00E3388F"/>
    <w:rsid w:val="00E343A8"/>
    <w:rsid w:val="00E34BF8"/>
    <w:rsid w:val="00E37D59"/>
    <w:rsid w:val="00E4027A"/>
    <w:rsid w:val="00E406D9"/>
    <w:rsid w:val="00E418F7"/>
    <w:rsid w:val="00E425AD"/>
    <w:rsid w:val="00E42D7D"/>
    <w:rsid w:val="00E45D3C"/>
    <w:rsid w:val="00E462B1"/>
    <w:rsid w:val="00E529E5"/>
    <w:rsid w:val="00E538EA"/>
    <w:rsid w:val="00E543F5"/>
    <w:rsid w:val="00E5452B"/>
    <w:rsid w:val="00E55B18"/>
    <w:rsid w:val="00E55E20"/>
    <w:rsid w:val="00E56E2C"/>
    <w:rsid w:val="00E579D5"/>
    <w:rsid w:val="00E61017"/>
    <w:rsid w:val="00E62236"/>
    <w:rsid w:val="00E625D1"/>
    <w:rsid w:val="00E6561F"/>
    <w:rsid w:val="00E67EA5"/>
    <w:rsid w:val="00E712AE"/>
    <w:rsid w:val="00E72EAD"/>
    <w:rsid w:val="00E731E4"/>
    <w:rsid w:val="00E739B4"/>
    <w:rsid w:val="00E74670"/>
    <w:rsid w:val="00E750A3"/>
    <w:rsid w:val="00E77AE3"/>
    <w:rsid w:val="00E77FE1"/>
    <w:rsid w:val="00E8094D"/>
    <w:rsid w:val="00E80A63"/>
    <w:rsid w:val="00E81171"/>
    <w:rsid w:val="00E82396"/>
    <w:rsid w:val="00E86273"/>
    <w:rsid w:val="00E87641"/>
    <w:rsid w:val="00E9454D"/>
    <w:rsid w:val="00E9590D"/>
    <w:rsid w:val="00E95BFC"/>
    <w:rsid w:val="00E961F0"/>
    <w:rsid w:val="00E9641A"/>
    <w:rsid w:val="00EA0940"/>
    <w:rsid w:val="00EA122C"/>
    <w:rsid w:val="00EA128B"/>
    <w:rsid w:val="00EA1CC8"/>
    <w:rsid w:val="00EA21A3"/>
    <w:rsid w:val="00EA3B76"/>
    <w:rsid w:val="00EA44A0"/>
    <w:rsid w:val="00EA5BBE"/>
    <w:rsid w:val="00EA644E"/>
    <w:rsid w:val="00EA6DDD"/>
    <w:rsid w:val="00EA79F7"/>
    <w:rsid w:val="00EB01B8"/>
    <w:rsid w:val="00EB024C"/>
    <w:rsid w:val="00EB0595"/>
    <w:rsid w:val="00EB0627"/>
    <w:rsid w:val="00EB07F4"/>
    <w:rsid w:val="00EB34EF"/>
    <w:rsid w:val="00EB39FD"/>
    <w:rsid w:val="00EB418D"/>
    <w:rsid w:val="00EB467F"/>
    <w:rsid w:val="00EB4AAF"/>
    <w:rsid w:val="00EB4BD4"/>
    <w:rsid w:val="00EB4C2F"/>
    <w:rsid w:val="00EB5F53"/>
    <w:rsid w:val="00EB7259"/>
    <w:rsid w:val="00EC151E"/>
    <w:rsid w:val="00EC15E8"/>
    <w:rsid w:val="00EC2F82"/>
    <w:rsid w:val="00EC31E0"/>
    <w:rsid w:val="00EC3D61"/>
    <w:rsid w:val="00EC4D72"/>
    <w:rsid w:val="00EC671D"/>
    <w:rsid w:val="00EC713C"/>
    <w:rsid w:val="00EC74A6"/>
    <w:rsid w:val="00ED0DDF"/>
    <w:rsid w:val="00ED0EB9"/>
    <w:rsid w:val="00ED0F92"/>
    <w:rsid w:val="00ED2F2D"/>
    <w:rsid w:val="00ED42D3"/>
    <w:rsid w:val="00ED5271"/>
    <w:rsid w:val="00ED5A1B"/>
    <w:rsid w:val="00ED6A11"/>
    <w:rsid w:val="00ED6A6E"/>
    <w:rsid w:val="00ED7908"/>
    <w:rsid w:val="00ED7A79"/>
    <w:rsid w:val="00EE0293"/>
    <w:rsid w:val="00EE0341"/>
    <w:rsid w:val="00EE22F3"/>
    <w:rsid w:val="00EE37E3"/>
    <w:rsid w:val="00EE3890"/>
    <w:rsid w:val="00EE3A95"/>
    <w:rsid w:val="00EE58A7"/>
    <w:rsid w:val="00EE5E01"/>
    <w:rsid w:val="00EE64B3"/>
    <w:rsid w:val="00EE78F9"/>
    <w:rsid w:val="00EE7BC3"/>
    <w:rsid w:val="00EF1931"/>
    <w:rsid w:val="00EF2079"/>
    <w:rsid w:val="00EF36AF"/>
    <w:rsid w:val="00EF3A37"/>
    <w:rsid w:val="00EF3C81"/>
    <w:rsid w:val="00EF4420"/>
    <w:rsid w:val="00EF4561"/>
    <w:rsid w:val="00EF4A2D"/>
    <w:rsid w:val="00EF5A72"/>
    <w:rsid w:val="00EF5BAF"/>
    <w:rsid w:val="00EF6317"/>
    <w:rsid w:val="00EF732A"/>
    <w:rsid w:val="00F0083C"/>
    <w:rsid w:val="00F00F0F"/>
    <w:rsid w:val="00F01E1F"/>
    <w:rsid w:val="00F02349"/>
    <w:rsid w:val="00F02869"/>
    <w:rsid w:val="00F029F6"/>
    <w:rsid w:val="00F03469"/>
    <w:rsid w:val="00F05123"/>
    <w:rsid w:val="00F06692"/>
    <w:rsid w:val="00F1000D"/>
    <w:rsid w:val="00F116DD"/>
    <w:rsid w:val="00F11702"/>
    <w:rsid w:val="00F13D5E"/>
    <w:rsid w:val="00F149E7"/>
    <w:rsid w:val="00F155CA"/>
    <w:rsid w:val="00F16263"/>
    <w:rsid w:val="00F24565"/>
    <w:rsid w:val="00F247E3"/>
    <w:rsid w:val="00F27EE9"/>
    <w:rsid w:val="00F31021"/>
    <w:rsid w:val="00F311A4"/>
    <w:rsid w:val="00F32125"/>
    <w:rsid w:val="00F327B1"/>
    <w:rsid w:val="00F33466"/>
    <w:rsid w:val="00F33BD4"/>
    <w:rsid w:val="00F35139"/>
    <w:rsid w:val="00F35453"/>
    <w:rsid w:val="00F354B2"/>
    <w:rsid w:val="00F35D54"/>
    <w:rsid w:val="00F363AA"/>
    <w:rsid w:val="00F36411"/>
    <w:rsid w:val="00F37E69"/>
    <w:rsid w:val="00F4029F"/>
    <w:rsid w:val="00F40911"/>
    <w:rsid w:val="00F4184A"/>
    <w:rsid w:val="00F41D6D"/>
    <w:rsid w:val="00F43314"/>
    <w:rsid w:val="00F4396E"/>
    <w:rsid w:val="00F44354"/>
    <w:rsid w:val="00F4475A"/>
    <w:rsid w:val="00F4490B"/>
    <w:rsid w:val="00F45947"/>
    <w:rsid w:val="00F46938"/>
    <w:rsid w:val="00F50B09"/>
    <w:rsid w:val="00F517F5"/>
    <w:rsid w:val="00F5410B"/>
    <w:rsid w:val="00F54175"/>
    <w:rsid w:val="00F56485"/>
    <w:rsid w:val="00F61AFB"/>
    <w:rsid w:val="00F635F1"/>
    <w:rsid w:val="00F705BE"/>
    <w:rsid w:val="00F71CCB"/>
    <w:rsid w:val="00F71D5B"/>
    <w:rsid w:val="00F72468"/>
    <w:rsid w:val="00F72805"/>
    <w:rsid w:val="00F72856"/>
    <w:rsid w:val="00F75077"/>
    <w:rsid w:val="00F7588F"/>
    <w:rsid w:val="00F75D75"/>
    <w:rsid w:val="00F77D6C"/>
    <w:rsid w:val="00F77DDC"/>
    <w:rsid w:val="00F8019E"/>
    <w:rsid w:val="00F80565"/>
    <w:rsid w:val="00F81A6B"/>
    <w:rsid w:val="00F82C2C"/>
    <w:rsid w:val="00F82E63"/>
    <w:rsid w:val="00F830F0"/>
    <w:rsid w:val="00F8385C"/>
    <w:rsid w:val="00F842BC"/>
    <w:rsid w:val="00F84FAC"/>
    <w:rsid w:val="00F850B8"/>
    <w:rsid w:val="00F852AE"/>
    <w:rsid w:val="00F85913"/>
    <w:rsid w:val="00F8DE70"/>
    <w:rsid w:val="00F91C4E"/>
    <w:rsid w:val="00F92321"/>
    <w:rsid w:val="00F93AB9"/>
    <w:rsid w:val="00F94C04"/>
    <w:rsid w:val="00F965D9"/>
    <w:rsid w:val="00FA03E8"/>
    <w:rsid w:val="00FA1CA8"/>
    <w:rsid w:val="00FA25A3"/>
    <w:rsid w:val="00FA3AC3"/>
    <w:rsid w:val="00FA49B1"/>
    <w:rsid w:val="00FA5118"/>
    <w:rsid w:val="00FA6850"/>
    <w:rsid w:val="00FB0584"/>
    <w:rsid w:val="00FB061F"/>
    <w:rsid w:val="00FB0697"/>
    <w:rsid w:val="00FB181D"/>
    <w:rsid w:val="00FB3C64"/>
    <w:rsid w:val="00FB4C5C"/>
    <w:rsid w:val="00FB4ED4"/>
    <w:rsid w:val="00FB64FC"/>
    <w:rsid w:val="00FB68A9"/>
    <w:rsid w:val="00FB6B7A"/>
    <w:rsid w:val="00FB6F81"/>
    <w:rsid w:val="00FC005B"/>
    <w:rsid w:val="00FC1206"/>
    <w:rsid w:val="00FC1B04"/>
    <w:rsid w:val="00FC2532"/>
    <w:rsid w:val="00FC2B1C"/>
    <w:rsid w:val="00FC2CCE"/>
    <w:rsid w:val="00FC2D97"/>
    <w:rsid w:val="00FC40D1"/>
    <w:rsid w:val="00FC6033"/>
    <w:rsid w:val="00FC66F4"/>
    <w:rsid w:val="00FC6D4B"/>
    <w:rsid w:val="00FC739A"/>
    <w:rsid w:val="00FC78DE"/>
    <w:rsid w:val="00FD09E6"/>
    <w:rsid w:val="00FD0B8A"/>
    <w:rsid w:val="00FD142B"/>
    <w:rsid w:val="00FD302D"/>
    <w:rsid w:val="00FD4D6E"/>
    <w:rsid w:val="00FD5500"/>
    <w:rsid w:val="00FD5DED"/>
    <w:rsid w:val="00FE0C3E"/>
    <w:rsid w:val="00FE2476"/>
    <w:rsid w:val="00FE2CDE"/>
    <w:rsid w:val="00FE311F"/>
    <w:rsid w:val="00FE3252"/>
    <w:rsid w:val="00FE4D77"/>
    <w:rsid w:val="00FE5233"/>
    <w:rsid w:val="00FE5E1D"/>
    <w:rsid w:val="00FE5F87"/>
    <w:rsid w:val="00FE6419"/>
    <w:rsid w:val="00FE6B91"/>
    <w:rsid w:val="00FE76C0"/>
    <w:rsid w:val="00FF1F75"/>
    <w:rsid w:val="00FF24A1"/>
    <w:rsid w:val="00FF3266"/>
    <w:rsid w:val="00FF3291"/>
    <w:rsid w:val="00FF3CFC"/>
    <w:rsid w:val="00FF3E7F"/>
    <w:rsid w:val="00FF5BC8"/>
    <w:rsid w:val="00FF5D4E"/>
    <w:rsid w:val="00FF5E14"/>
    <w:rsid w:val="00FF73D1"/>
    <w:rsid w:val="016A9A42"/>
    <w:rsid w:val="01B16F57"/>
    <w:rsid w:val="029BEE66"/>
    <w:rsid w:val="02D4D30A"/>
    <w:rsid w:val="02D59D96"/>
    <w:rsid w:val="03151320"/>
    <w:rsid w:val="0348BE95"/>
    <w:rsid w:val="038B110E"/>
    <w:rsid w:val="03A138E0"/>
    <w:rsid w:val="03C974F0"/>
    <w:rsid w:val="03CE6CC3"/>
    <w:rsid w:val="044872D1"/>
    <w:rsid w:val="04F0A393"/>
    <w:rsid w:val="054B573E"/>
    <w:rsid w:val="0553959D"/>
    <w:rsid w:val="055965EA"/>
    <w:rsid w:val="05E08E2E"/>
    <w:rsid w:val="06E450AE"/>
    <w:rsid w:val="0785119D"/>
    <w:rsid w:val="081F7104"/>
    <w:rsid w:val="082FF40D"/>
    <w:rsid w:val="08416105"/>
    <w:rsid w:val="088950F4"/>
    <w:rsid w:val="088C4CF1"/>
    <w:rsid w:val="08A969BD"/>
    <w:rsid w:val="08E2DCD1"/>
    <w:rsid w:val="08E327FA"/>
    <w:rsid w:val="08F56C29"/>
    <w:rsid w:val="096A8527"/>
    <w:rsid w:val="099805C7"/>
    <w:rsid w:val="0AAC776D"/>
    <w:rsid w:val="0ACF27FC"/>
    <w:rsid w:val="0ADB3B57"/>
    <w:rsid w:val="0B200664"/>
    <w:rsid w:val="0B991723"/>
    <w:rsid w:val="0BC0E004"/>
    <w:rsid w:val="0C575580"/>
    <w:rsid w:val="0CEC1DB5"/>
    <w:rsid w:val="0DD0A622"/>
    <w:rsid w:val="0E8A98F4"/>
    <w:rsid w:val="0EBA67F7"/>
    <w:rsid w:val="0EBAED7B"/>
    <w:rsid w:val="0EE6EAEA"/>
    <w:rsid w:val="0F3FA99B"/>
    <w:rsid w:val="0FE34581"/>
    <w:rsid w:val="106BF0CE"/>
    <w:rsid w:val="109F1DA3"/>
    <w:rsid w:val="1111A1EC"/>
    <w:rsid w:val="1152C46B"/>
    <w:rsid w:val="117E657A"/>
    <w:rsid w:val="11868A25"/>
    <w:rsid w:val="1303A37E"/>
    <w:rsid w:val="132C9B4F"/>
    <w:rsid w:val="136BE919"/>
    <w:rsid w:val="13BEC540"/>
    <w:rsid w:val="145D6E82"/>
    <w:rsid w:val="147C8845"/>
    <w:rsid w:val="15446C1A"/>
    <w:rsid w:val="156FE4C7"/>
    <w:rsid w:val="15F46C1B"/>
    <w:rsid w:val="16710C24"/>
    <w:rsid w:val="16ACA0D0"/>
    <w:rsid w:val="17554259"/>
    <w:rsid w:val="17B0CE29"/>
    <w:rsid w:val="17EC48A3"/>
    <w:rsid w:val="190DA279"/>
    <w:rsid w:val="194E0316"/>
    <w:rsid w:val="1A61475A"/>
    <w:rsid w:val="1A7B12B9"/>
    <w:rsid w:val="1ADEA5A0"/>
    <w:rsid w:val="1AE2583D"/>
    <w:rsid w:val="1B60F5B2"/>
    <w:rsid w:val="1C244548"/>
    <w:rsid w:val="1C36E2EE"/>
    <w:rsid w:val="1C5D15B5"/>
    <w:rsid w:val="1C88D6F7"/>
    <w:rsid w:val="1D10D906"/>
    <w:rsid w:val="1D73B27F"/>
    <w:rsid w:val="1DAC714D"/>
    <w:rsid w:val="1E976C9C"/>
    <w:rsid w:val="1ECC8462"/>
    <w:rsid w:val="1EEC5FFF"/>
    <w:rsid w:val="1EF5BEA6"/>
    <w:rsid w:val="1EF6E8CF"/>
    <w:rsid w:val="1F428704"/>
    <w:rsid w:val="205A89D3"/>
    <w:rsid w:val="2104E73E"/>
    <w:rsid w:val="22629919"/>
    <w:rsid w:val="22D62E54"/>
    <w:rsid w:val="22F0327A"/>
    <w:rsid w:val="236B6F1E"/>
    <w:rsid w:val="24726CAA"/>
    <w:rsid w:val="2498388F"/>
    <w:rsid w:val="24C132A4"/>
    <w:rsid w:val="25A16BAA"/>
    <w:rsid w:val="25C05306"/>
    <w:rsid w:val="25F10D6F"/>
    <w:rsid w:val="27F4FA35"/>
    <w:rsid w:val="2804EE4C"/>
    <w:rsid w:val="2819C6A9"/>
    <w:rsid w:val="281F9129"/>
    <w:rsid w:val="28E49E7A"/>
    <w:rsid w:val="2955C6A9"/>
    <w:rsid w:val="296983B5"/>
    <w:rsid w:val="2ABFAC8C"/>
    <w:rsid w:val="2ACEDC6D"/>
    <w:rsid w:val="2BB93AAE"/>
    <w:rsid w:val="2BC862B2"/>
    <w:rsid w:val="2BD9DF32"/>
    <w:rsid w:val="2BDB66FB"/>
    <w:rsid w:val="2BE74C9D"/>
    <w:rsid w:val="2C011D42"/>
    <w:rsid w:val="2C33536F"/>
    <w:rsid w:val="2CEC0838"/>
    <w:rsid w:val="2D141D0D"/>
    <w:rsid w:val="2D5267DC"/>
    <w:rsid w:val="2D5DF40B"/>
    <w:rsid w:val="2DA0CE9B"/>
    <w:rsid w:val="2E8085B0"/>
    <w:rsid w:val="2EE154FA"/>
    <w:rsid w:val="2F6D6053"/>
    <w:rsid w:val="2F79E1E0"/>
    <w:rsid w:val="301C7415"/>
    <w:rsid w:val="303AB42F"/>
    <w:rsid w:val="30E0C1A1"/>
    <w:rsid w:val="317111A8"/>
    <w:rsid w:val="31B7DFCF"/>
    <w:rsid w:val="31F37C48"/>
    <w:rsid w:val="32070D50"/>
    <w:rsid w:val="32940DFC"/>
    <w:rsid w:val="32B5DB62"/>
    <w:rsid w:val="32DFE487"/>
    <w:rsid w:val="32EEDAEE"/>
    <w:rsid w:val="331BA6A2"/>
    <w:rsid w:val="335E8AAB"/>
    <w:rsid w:val="3399E85B"/>
    <w:rsid w:val="33C30320"/>
    <w:rsid w:val="342516DB"/>
    <w:rsid w:val="34416D48"/>
    <w:rsid w:val="347E2398"/>
    <w:rsid w:val="348AA652"/>
    <w:rsid w:val="34A1BCE6"/>
    <w:rsid w:val="34AC692D"/>
    <w:rsid w:val="351C7E13"/>
    <w:rsid w:val="3521462A"/>
    <w:rsid w:val="35974641"/>
    <w:rsid w:val="35F2783B"/>
    <w:rsid w:val="36043AC1"/>
    <w:rsid w:val="36639A5D"/>
    <w:rsid w:val="36A8F3E1"/>
    <w:rsid w:val="37117555"/>
    <w:rsid w:val="38550929"/>
    <w:rsid w:val="3866A123"/>
    <w:rsid w:val="38C7F1C6"/>
    <w:rsid w:val="38EF8C47"/>
    <w:rsid w:val="38F619A7"/>
    <w:rsid w:val="3959C015"/>
    <w:rsid w:val="39874E99"/>
    <w:rsid w:val="39883758"/>
    <w:rsid w:val="398BDFAB"/>
    <w:rsid w:val="39B0A8F3"/>
    <w:rsid w:val="3AAA86BF"/>
    <w:rsid w:val="3B2E26F3"/>
    <w:rsid w:val="3B775C4C"/>
    <w:rsid w:val="3B84549C"/>
    <w:rsid w:val="3B9EE1DC"/>
    <w:rsid w:val="3BAD787F"/>
    <w:rsid w:val="3BC1D0C6"/>
    <w:rsid w:val="3C24B2E7"/>
    <w:rsid w:val="3CAF0CBD"/>
    <w:rsid w:val="3CF21F8B"/>
    <w:rsid w:val="3D35A3A1"/>
    <w:rsid w:val="3EB6C794"/>
    <w:rsid w:val="3EB75D23"/>
    <w:rsid w:val="3EDC061B"/>
    <w:rsid w:val="3F88F8F5"/>
    <w:rsid w:val="3FB3EA53"/>
    <w:rsid w:val="3FD6E3A4"/>
    <w:rsid w:val="402E2D9C"/>
    <w:rsid w:val="4048BD0C"/>
    <w:rsid w:val="420931AD"/>
    <w:rsid w:val="4270C8D8"/>
    <w:rsid w:val="42733180"/>
    <w:rsid w:val="42EDD358"/>
    <w:rsid w:val="432B85B9"/>
    <w:rsid w:val="4474C3FD"/>
    <w:rsid w:val="44778165"/>
    <w:rsid w:val="448FC5E7"/>
    <w:rsid w:val="44E401C6"/>
    <w:rsid w:val="45003A52"/>
    <w:rsid w:val="450EFFE0"/>
    <w:rsid w:val="45318010"/>
    <w:rsid w:val="46309D70"/>
    <w:rsid w:val="46500854"/>
    <w:rsid w:val="46AFDF34"/>
    <w:rsid w:val="46CFE64B"/>
    <w:rsid w:val="46DD14E7"/>
    <w:rsid w:val="46FEBBE7"/>
    <w:rsid w:val="4702F7A4"/>
    <w:rsid w:val="4774876E"/>
    <w:rsid w:val="479940E8"/>
    <w:rsid w:val="485C9014"/>
    <w:rsid w:val="48A89FF1"/>
    <w:rsid w:val="48A949AE"/>
    <w:rsid w:val="499A2FC5"/>
    <w:rsid w:val="49F0E953"/>
    <w:rsid w:val="4ADAC4C7"/>
    <w:rsid w:val="4B244ECA"/>
    <w:rsid w:val="4B3CE62C"/>
    <w:rsid w:val="4BAC4529"/>
    <w:rsid w:val="4C6BB8F8"/>
    <w:rsid w:val="4C961EEB"/>
    <w:rsid w:val="4F0D4325"/>
    <w:rsid w:val="4F10B35D"/>
    <w:rsid w:val="4F29CB60"/>
    <w:rsid w:val="4FC36878"/>
    <w:rsid w:val="509F8F7F"/>
    <w:rsid w:val="50AD4DA7"/>
    <w:rsid w:val="518666FB"/>
    <w:rsid w:val="52112458"/>
    <w:rsid w:val="52492943"/>
    <w:rsid w:val="5283393D"/>
    <w:rsid w:val="52BAB207"/>
    <w:rsid w:val="52C8E96F"/>
    <w:rsid w:val="538BB388"/>
    <w:rsid w:val="53FC0B36"/>
    <w:rsid w:val="5470E248"/>
    <w:rsid w:val="54B3AFD5"/>
    <w:rsid w:val="54C7FCBC"/>
    <w:rsid w:val="5565478F"/>
    <w:rsid w:val="55E57BBB"/>
    <w:rsid w:val="5609D885"/>
    <w:rsid w:val="56601CFE"/>
    <w:rsid w:val="56922DF3"/>
    <w:rsid w:val="56B2674F"/>
    <w:rsid w:val="57814704"/>
    <w:rsid w:val="57A2951B"/>
    <w:rsid w:val="58A308B0"/>
    <w:rsid w:val="58F7CF97"/>
    <w:rsid w:val="59048720"/>
    <w:rsid w:val="59E1F985"/>
    <w:rsid w:val="5A3BCCDE"/>
    <w:rsid w:val="5AEAF509"/>
    <w:rsid w:val="5B09A8AD"/>
    <w:rsid w:val="5B6289C6"/>
    <w:rsid w:val="5CA45393"/>
    <w:rsid w:val="5EAA1A64"/>
    <w:rsid w:val="5EF57D97"/>
    <w:rsid w:val="5F0BF4F7"/>
    <w:rsid w:val="5F1F74A0"/>
    <w:rsid w:val="5F5D029F"/>
    <w:rsid w:val="5F762746"/>
    <w:rsid w:val="5F823A4D"/>
    <w:rsid w:val="5F9BCE53"/>
    <w:rsid w:val="5FA48303"/>
    <w:rsid w:val="5FE9F6A5"/>
    <w:rsid w:val="600907DF"/>
    <w:rsid w:val="611CE038"/>
    <w:rsid w:val="614D1D58"/>
    <w:rsid w:val="6177FF51"/>
    <w:rsid w:val="62149DB2"/>
    <w:rsid w:val="621CC590"/>
    <w:rsid w:val="62352CB9"/>
    <w:rsid w:val="62785B09"/>
    <w:rsid w:val="62C1A543"/>
    <w:rsid w:val="62EAC264"/>
    <w:rsid w:val="631922F7"/>
    <w:rsid w:val="6329EDEC"/>
    <w:rsid w:val="6398D2C5"/>
    <w:rsid w:val="63B90176"/>
    <w:rsid w:val="643C1DF1"/>
    <w:rsid w:val="645C8644"/>
    <w:rsid w:val="648C45FE"/>
    <w:rsid w:val="64A0E6C0"/>
    <w:rsid w:val="6535B17E"/>
    <w:rsid w:val="65524283"/>
    <w:rsid w:val="655E3946"/>
    <w:rsid w:val="658A26C9"/>
    <w:rsid w:val="677B9EB5"/>
    <w:rsid w:val="67F9B7FF"/>
    <w:rsid w:val="68BA16A5"/>
    <w:rsid w:val="690AABEF"/>
    <w:rsid w:val="6A31509D"/>
    <w:rsid w:val="6A6E81FC"/>
    <w:rsid w:val="6A7B37AA"/>
    <w:rsid w:val="6AD928B1"/>
    <w:rsid w:val="6B0F979C"/>
    <w:rsid w:val="6B82515C"/>
    <w:rsid w:val="6C70D912"/>
    <w:rsid w:val="6C7D873E"/>
    <w:rsid w:val="6DA8D5BF"/>
    <w:rsid w:val="6DC8C112"/>
    <w:rsid w:val="6E75B1B5"/>
    <w:rsid w:val="6E7B06B3"/>
    <w:rsid w:val="6E88162D"/>
    <w:rsid w:val="6FAE8C52"/>
    <w:rsid w:val="6FBF5165"/>
    <w:rsid w:val="704F8767"/>
    <w:rsid w:val="707485E3"/>
    <w:rsid w:val="70FCF082"/>
    <w:rsid w:val="71410187"/>
    <w:rsid w:val="71B773C0"/>
    <w:rsid w:val="71CFCAE6"/>
    <w:rsid w:val="71ECB677"/>
    <w:rsid w:val="71FBE678"/>
    <w:rsid w:val="72F64A3B"/>
    <w:rsid w:val="731ED731"/>
    <w:rsid w:val="735CEC33"/>
    <w:rsid w:val="7502C235"/>
    <w:rsid w:val="751B9E5F"/>
    <w:rsid w:val="7557B240"/>
    <w:rsid w:val="757C82A0"/>
    <w:rsid w:val="7606EFB3"/>
    <w:rsid w:val="7689AAF4"/>
    <w:rsid w:val="7689D9C6"/>
    <w:rsid w:val="768AFD78"/>
    <w:rsid w:val="769BDCF4"/>
    <w:rsid w:val="778E5600"/>
    <w:rsid w:val="77B29CAE"/>
    <w:rsid w:val="77C50D86"/>
    <w:rsid w:val="77CB5EEB"/>
    <w:rsid w:val="786E8181"/>
    <w:rsid w:val="78993F0E"/>
    <w:rsid w:val="7920C22D"/>
    <w:rsid w:val="79A5B284"/>
    <w:rsid w:val="7A082BC8"/>
    <w:rsid w:val="7AFC5BB3"/>
    <w:rsid w:val="7B1423B7"/>
    <w:rsid w:val="7B31BDB8"/>
    <w:rsid w:val="7B42B368"/>
    <w:rsid w:val="7C0D1858"/>
    <w:rsid w:val="7C42C759"/>
    <w:rsid w:val="7D647A89"/>
    <w:rsid w:val="7DC6816D"/>
    <w:rsid w:val="7DDC778B"/>
    <w:rsid w:val="7E7CED64"/>
    <w:rsid w:val="7E8873A9"/>
    <w:rsid w:val="7EC263BC"/>
    <w:rsid w:val="7F3723F4"/>
    <w:rsid w:val="7FC55360"/>
    <w:rsid w:val="7FE768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C1FFA9E9-DCB2-4CE4-AC9A-6C31E123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E1C96"/>
    <w:pPr>
      <w:keepNext/>
      <w:keepLines/>
      <w:spacing w:before="5200" w:after="0" w:line="1000" w:lineRule="exact"/>
      <w:jc w:val="righ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35308E"/>
    <w:pPr>
      <w:keepNext/>
      <w:keepLines/>
      <w:spacing w:before="720"/>
      <w:outlineLvl w:val="1"/>
    </w:pPr>
    <w:rPr>
      <w:rFonts w:asciiTheme="majorHAnsi" w:eastAsiaTheme="majorEastAsia" w:hAnsiTheme="majorHAnsi" w:cstheme="majorBidi"/>
      <w:b/>
      <w:color w:val="010035" w:themeColor="text2"/>
      <w:sz w:val="44"/>
      <w:szCs w:val="26"/>
    </w:rPr>
  </w:style>
  <w:style w:type="paragraph" w:styleId="Heading3">
    <w:name w:val="heading 3"/>
    <w:basedOn w:val="Normal"/>
    <w:next w:val="Normal"/>
    <w:link w:val="Heading3Char"/>
    <w:uiPriority w:val="9"/>
    <w:unhideWhenUsed/>
    <w:qFormat/>
    <w:rsid w:val="0035308E"/>
    <w:pPr>
      <w:keepNext/>
      <w:keepLines/>
      <w:spacing w:before="320" w:after="60"/>
      <w:outlineLvl w:val="2"/>
    </w:pPr>
    <w:rPr>
      <w:rFonts w:asciiTheme="majorHAnsi" w:eastAsiaTheme="majorEastAsia" w:hAnsiTheme="majorHAnsi" w:cstheme="majorBidi"/>
      <w:b/>
      <w:color w:val="006954" w:themeColor="accent2"/>
      <w:sz w:val="32"/>
      <w:szCs w:val="24"/>
    </w:rPr>
  </w:style>
  <w:style w:type="paragraph" w:styleId="Heading4">
    <w:name w:val="heading 4"/>
    <w:basedOn w:val="Normal"/>
    <w:next w:val="Normal"/>
    <w:link w:val="Heading4Char"/>
    <w:uiPriority w:val="9"/>
    <w:unhideWhenUsed/>
    <w:qFormat/>
    <w:rsid w:val="0035308E"/>
    <w:pPr>
      <w:keepNext/>
      <w:keepLines/>
      <w:spacing w:before="360" w:after="0"/>
      <w:outlineLvl w:val="3"/>
    </w:pPr>
    <w:rPr>
      <w:rFonts w:asciiTheme="majorHAnsi" w:eastAsiaTheme="majorEastAsia" w:hAnsiTheme="majorHAnsi" w:cstheme="majorBidi"/>
      <w:b/>
      <w:iCs/>
      <w:color w:val="010035" w:themeColor="text2"/>
      <w:sz w:val="28"/>
    </w:rPr>
  </w:style>
  <w:style w:type="paragraph" w:styleId="Heading5">
    <w:name w:val="heading 5"/>
    <w:basedOn w:val="Normal"/>
    <w:next w:val="Normal"/>
    <w:link w:val="Heading5Char"/>
    <w:uiPriority w:val="9"/>
    <w:unhideWhenUsed/>
    <w:qFormat/>
    <w:rsid w:val="0035308E"/>
    <w:pPr>
      <w:keepNext/>
      <w:keepLines/>
      <w:spacing w:before="40" w:after="0"/>
      <w:outlineLvl w:val="4"/>
    </w:pPr>
    <w:rPr>
      <w:rFonts w:asciiTheme="majorHAnsi" w:eastAsiaTheme="majorEastAsia" w:hAnsiTheme="majorHAnsi" w:cstheme="majorBidi"/>
      <w:b/>
      <w:color w:val="006954" w:themeColor="accen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00695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95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1C9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35308E"/>
    <w:rPr>
      <w:rFonts w:asciiTheme="majorHAnsi" w:eastAsiaTheme="majorEastAsia" w:hAnsiTheme="majorHAnsi" w:cstheme="majorBidi"/>
      <w:b/>
      <w:color w:val="010035" w:themeColor="text2"/>
      <w:sz w:val="44"/>
      <w:szCs w:val="26"/>
    </w:rPr>
  </w:style>
  <w:style w:type="character" w:customStyle="1" w:styleId="Heading3Char">
    <w:name w:val="Heading 3 Char"/>
    <w:basedOn w:val="DefaultParagraphFont"/>
    <w:link w:val="Heading3"/>
    <w:uiPriority w:val="9"/>
    <w:rsid w:val="0035308E"/>
    <w:rPr>
      <w:rFonts w:asciiTheme="majorHAnsi" w:eastAsiaTheme="majorEastAsia" w:hAnsiTheme="majorHAnsi" w:cstheme="majorBidi"/>
      <w:b/>
      <w:color w:val="006954" w:themeColor="accent2"/>
      <w:sz w:val="32"/>
      <w:szCs w:val="24"/>
    </w:rPr>
  </w:style>
  <w:style w:type="character" w:customStyle="1" w:styleId="Heading4Char">
    <w:name w:val="Heading 4 Char"/>
    <w:basedOn w:val="DefaultParagraphFont"/>
    <w:link w:val="Heading4"/>
    <w:uiPriority w:val="9"/>
    <w:rsid w:val="0035308E"/>
    <w:rPr>
      <w:rFonts w:asciiTheme="majorHAnsi" w:eastAsiaTheme="majorEastAsia" w:hAnsiTheme="majorHAnsi" w:cstheme="majorBidi"/>
      <w:b/>
      <w:iCs/>
      <w:color w:val="010035" w:themeColor="text2"/>
      <w:sz w:val="28"/>
    </w:rPr>
  </w:style>
  <w:style w:type="character" w:customStyle="1" w:styleId="Heading5Char">
    <w:name w:val="Heading 5 Char"/>
    <w:basedOn w:val="DefaultParagraphFont"/>
    <w:link w:val="Heading5"/>
    <w:uiPriority w:val="9"/>
    <w:rsid w:val="0035308E"/>
    <w:rPr>
      <w:rFonts w:asciiTheme="majorHAnsi" w:eastAsiaTheme="majorEastAsia" w:hAnsiTheme="majorHAnsi" w:cstheme="majorBidi"/>
      <w:b/>
      <w:color w:val="006954" w:themeColor="accen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35308E"/>
    <w:pPr>
      <w:spacing w:after="120" w:line="240" w:lineRule="auto"/>
    </w:pPr>
    <w:rPr>
      <w:b/>
      <w:iCs/>
      <w:color w:val="010035"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006954" w:themeColor="accent2"/>
    </w:rPr>
  </w:style>
  <w:style w:type="paragraph" w:styleId="Subtitle">
    <w:name w:val="Subtitle"/>
    <w:basedOn w:val="Normal"/>
    <w:next w:val="Normal"/>
    <w:link w:val="SubtitleChar"/>
    <w:uiPriority w:val="11"/>
    <w:qFormat/>
    <w:rsid w:val="00A445DC"/>
    <w:pPr>
      <w:numPr>
        <w:ilvl w:val="1"/>
      </w:numPr>
      <w:spacing w:before="500" w:after="140"/>
      <w:jc w:val="right"/>
    </w:pPr>
    <w:rPr>
      <w:rFonts w:eastAsiaTheme="minorEastAsia"/>
      <w:b/>
      <w:color w:val="53B171" w:themeColor="background2"/>
      <w:spacing w:val="15"/>
      <w:sz w:val="40"/>
    </w:rPr>
  </w:style>
  <w:style w:type="character" w:customStyle="1" w:styleId="SubtitleChar">
    <w:name w:val="Subtitle Char"/>
    <w:basedOn w:val="DefaultParagraphFont"/>
    <w:link w:val="Subtitle"/>
    <w:uiPriority w:val="11"/>
    <w:rsid w:val="00A445DC"/>
    <w:rPr>
      <w:rFonts w:eastAsiaTheme="minorEastAsia"/>
      <w:b/>
      <w:color w:val="53B171" w:themeColor="background2"/>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5308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10035"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EA79F7"/>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445DC"/>
    <w:pPr>
      <w:spacing w:before="0" w:after="240" w:line="259" w:lineRule="auto"/>
      <w:jc w:val="left"/>
      <w:outlineLvl w:val="9"/>
    </w:pPr>
    <w:rPr>
      <w:rFonts w:asciiTheme="majorHAnsi" w:hAnsiTheme="majorHAnsi"/>
      <w:color w:val="010035" w:themeColor="text2"/>
      <w:sz w:val="44"/>
      <w:lang w:val="en-US"/>
    </w:rPr>
  </w:style>
  <w:style w:type="paragraph" w:customStyle="1" w:styleId="Versionnumber">
    <w:name w:val="Version number"/>
    <w:basedOn w:val="Normal"/>
    <w:qFormat/>
    <w:rsid w:val="001E1C96"/>
    <w:pPr>
      <w:spacing w:before="3200"/>
      <w:jc w:val="right"/>
    </w:pPr>
    <w:rPr>
      <w:color w:val="FFFFFF" w:themeColor="background1"/>
      <w:sz w:val="32"/>
    </w:rPr>
  </w:style>
  <w:style w:type="table" w:styleId="TableGridLight">
    <w:name w:val="Grid Table Light"/>
    <w:basedOn w:val="TableNormal"/>
    <w:uiPriority w:val="40"/>
    <w:rsid w:val="007C1FE3"/>
    <w:pPr>
      <w:spacing w:after="0" w:line="240" w:lineRule="auto"/>
    </w:pPr>
    <w:tblPr/>
    <w:tcPr>
      <w:shd w:val="clear" w:color="auto" w:fill="DCEFE2" w:themeFill="background2" w:themeFillTint="33"/>
      <w:tcMar>
        <w:top w:w="108" w:type="dxa"/>
      </w:tcMar>
    </w:tcPr>
  </w:style>
  <w:style w:type="paragraph" w:customStyle="1" w:styleId="Colourtabletext">
    <w:name w:val="Colour table text"/>
    <w:basedOn w:val="Normal"/>
    <w:qFormat/>
    <w:rsid w:val="007C1FE3"/>
    <w:pPr>
      <w:spacing w:after="120" w:line="240" w:lineRule="auto"/>
    </w:pPr>
  </w:style>
  <w:style w:type="character" w:styleId="CommentReference">
    <w:name w:val="annotation reference"/>
    <w:basedOn w:val="DefaultParagraphFont"/>
    <w:uiPriority w:val="99"/>
    <w:semiHidden/>
    <w:unhideWhenUsed/>
    <w:rsid w:val="004968DD"/>
    <w:rPr>
      <w:sz w:val="16"/>
      <w:szCs w:val="16"/>
    </w:rPr>
  </w:style>
  <w:style w:type="paragraph" w:styleId="CommentText">
    <w:name w:val="annotation text"/>
    <w:basedOn w:val="Normal"/>
    <w:link w:val="CommentTextChar"/>
    <w:uiPriority w:val="99"/>
    <w:unhideWhenUsed/>
    <w:rsid w:val="004968DD"/>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4968DD"/>
    <w:rPr>
      <w:kern w:val="2"/>
      <w:sz w:val="20"/>
      <w:szCs w:val="20"/>
      <w14:ligatures w14:val="standardContextual"/>
    </w:rPr>
  </w:style>
  <w:style w:type="paragraph" w:styleId="ListParagraph">
    <w:name w:val="List Paragraph"/>
    <w:aliases w:val="List Paragraph1,List Paragraph11,List Paragraph Number,Bullet point,Recommendation,L,Content descriptions,Bullet Point,dot point List Paragraph,Figure_name,Bullet- First level,Listenabsatz1,List Paragraph2,List Bullet 1,Body Bullets 1,列出段"/>
    <w:basedOn w:val="Normal"/>
    <w:link w:val="ListParagraphChar"/>
    <w:uiPriority w:val="34"/>
    <w:qFormat/>
    <w:rsid w:val="004968DD"/>
    <w:pPr>
      <w:ind w:left="720"/>
      <w:contextualSpacing/>
    </w:pPr>
  </w:style>
  <w:style w:type="character" w:customStyle="1" w:styleId="ListParagraphChar">
    <w:name w:val="List Paragraph Char"/>
    <w:aliases w:val="List Paragraph1 Char,List Paragraph11 Char,List Paragraph Number Char,Bullet point Char,Recommendation Char,L Char,Content descriptions Char,Bullet Point Char,dot point List Paragraph Char,Figure_name Char,Bullet- First level Char"/>
    <w:link w:val="ListParagraph"/>
    <w:uiPriority w:val="34"/>
    <w:qFormat/>
    <w:rsid w:val="004968DD"/>
  </w:style>
  <w:style w:type="character" w:customStyle="1" w:styleId="ui-provider">
    <w:name w:val="ui-provider"/>
    <w:basedOn w:val="DefaultParagraphFont"/>
    <w:rsid w:val="004968DD"/>
  </w:style>
  <w:style w:type="paragraph" w:styleId="Revision">
    <w:name w:val="Revision"/>
    <w:hidden/>
    <w:uiPriority w:val="99"/>
    <w:semiHidden/>
    <w:rsid w:val="00EE22F3"/>
    <w:pPr>
      <w:spacing w:after="0" w:line="240" w:lineRule="auto"/>
    </w:pPr>
  </w:style>
  <w:style w:type="paragraph" w:customStyle="1" w:styleId="MBPoint">
    <w:name w:val="MB Point"/>
    <w:basedOn w:val="ListParagraph"/>
    <w:qFormat/>
    <w:rsid w:val="0005492B"/>
    <w:pPr>
      <w:numPr>
        <w:numId w:val="26"/>
      </w:numPr>
      <w:spacing w:after="60" w:line="240" w:lineRule="auto"/>
      <w:ind w:left="417"/>
      <w:contextualSpacing w:val="0"/>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45D3C"/>
    <w:pPr>
      <w:spacing w:after="240"/>
    </w:pPr>
    <w:rPr>
      <w:b/>
      <w:bCs/>
      <w:kern w:val="0"/>
      <w14:ligatures w14:val="none"/>
    </w:rPr>
  </w:style>
  <w:style w:type="character" w:customStyle="1" w:styleId="CommentSubjectChar">
    <w:name w:val="Comment Subject Char"/>
    <w:basedOn w:val="CommentTextChar"/>
    <w:link w:val="CommentSubject"/>
    <w:uiPriority w:val="99"/>
    <w:semiHidden/>
    <w:rsid w:val="00E45D3C"/>
    <w:rPr>
      <w:b/>
      <w:bCs/>
      <w:kern w:val="2"/>
      <w:sz w:val="20"/>
      <w:szCs w:val="20"/>
      <w14:ligatures w14:val="standardContextual"/>
    </w:rPr>
  </w:style>
  <w:style w:type="character" w:styleId="Mention">
    <w:name w:val="Mention"/>
    <w:basedOn w:val="DefaultParagraphFont"/>
    <w:uiPriority w:val="99"/>
    <w:unhideWhenUsed/>
    <w:rsid w:val="00E24678"/>
    <w:rPr>
      <w:color w:val="2B579A"/>
      <w:shd w:val="clear" w:color="auto" w:fill="E1DFDD"/>
    </w:rPr>
  </w:style>
  <w:style w:type="paragraph" w:styleId="NormalWeb">
    <w:name w:val="Normal (Web)"/>
    <w:basedOn w:val="Normal"/>
    <w:uiPriority w:val="99"/>
    <w:unhideWhenUsed/>
    <w:rsid w:val="0036671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36671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66710"/>
  </w:style>
  <w:style w:type="paragraph" w:styleId="FootnoteText">
    <w:name w:val="footnote text"/>
    <w:basedOn w:val="Normal"/>
    <w:link w:val="FootnoteTextChar"/>
    <w:uiPriority w:val="99"/>
    <w:semiHidden/>
    <w:unhideWhenUsed/>
    <w:rsid w:val="00902C98"/>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902C98"/>
    <w:rPr>
      <w:kern w:val="2"/>
      <w:sz w:val="20"/>
      <w:szCs w:val="20"/>
      <w14:ligatures w14:val="standardContextual"/>
    </w:rPr>
  </w:style>
  <w:style w:type="character" w:styleId="FootnoteReference">
    <w:name w:val="footnote reference"/>
    <w:basedOn w:val="DefaultParagraphFont"/>
    <w:uiPriority w:val="99"/>
    <w:semiHidden/>
    <w:unhideWhenUsed/>
    <w:rsid w:val="00902C98"/>
    <w:rPr>
      <w:vertAlign w:val="superscript"/>
    </w:rPr>
  </w:style>
  <w:style w:type="paragraph" w:customStyle="1" w:styleId="footnotedescription">
    <w:name w:val="footnote description"/>
    <w:next w:val="Normal"/>
    <w:link w:val="footnotedescriptionChar"/>
    <w:hidden/>
    <w:rsid w:val="002B492C"/>
    <w:pPr>
      <w:spacing w:after="38"/>
      <w:ind w:left="12"/>
    </w:pPr>
    <w:rPr>
      <w:rFonts w:ascii="Calibri" w:eastAsia="Calibri" w:hAnsi="Calibri" w:cs="Calibri"/>
      <w:color w:val="205D9E"/>
      <w:kern w:val="2"/>
      <w:sz w:val="16"/>
      <w:szCs w:val="24"/>
      <w:u w:val="single" w:color="205D9E"/>
      <w:lang w:eastAsia="en-AU"/>
      <w14:ligatures w14:val="standardContextual"/>
    </w:rPr>
  </w:style>
  <w:style w:type="character" w:customStyle="1" w:styleId="footnotedescriptionChar">
    <w:name w:val="footnote description Char"/>
    <w:link w:val="footnotedescription"/>
    <w:rsid w:val="002B492C"/>
    <w:rPr>
      <w:rFonts w:ascii="Calibri" w:eastAsia="Calibri" w:hAnsi="Calibri" w:cs="Calibri"/>
      <w:color w:val="205D9E"/>
      <w:kern w:val="2"/>
      <w:sz w:val="16"/>
      <w:szCs w:val="24"/>
      <w:u w:val="single" w:color="205D9E"/>
      <w:lang w:eastAsia="en-AU"/>
      <w14:ligatures w14:val="standardContextual"/>
    </w:rPr>
  </w:style>
  <w:style w:type="character" w:customStyle="1" w:styleId="footnotemark">
    <w:name w:val="footnote mark"/>
    <w:hidden/>
    <w:rsid w:val="002B492C"/>
    <w:rPr>
      <w:rFonts w:ascii="Calibri" w:eastAsia="Calibri" w:hAnsi="Calibri" w:cs="Calibri"/>
      <w:color w:val="000034"/>
      <w:sz w:val="16"/>
      <w:vertAlign w:val="superscript"/>
    </w:rPr>
  </w:style>
  <w:style w:type="table" w:customStyle="1" w:styleId="TableGrid0">
    <w:name w:val="TableGrid"/>
    <w:rsid w:val="002B492C"/>
    <w:pPr>
      <w:spacing w:after="0" w:line="240" w:lineRule="auto"/>
    </w:pPr>
    <w:rPr>
      <w:rFonts w:eastAsiaTheme="minorEastAsia"/>
      <w:kern w:val="2"/>
      <w:sz w:val="24"/>
      <w:szCs w:val="24"/>
      <w:lang w:eastAsia="en-AU"/>
      <w14:ligatures w14:val="standardContextual"/>
    </w:rPr>
    <w:tblPr>
      <w:tblCellMar>
        <w:top w:w="0" w:type="dxa"/>
        <w:left w:w="0" w:type="dxa"/>
        <w:bottom w:w="0" w:type="dxa"/>
        <w:right w:w="0" w:type="dxa"/>
      </w:tblCellMar>
    </w:tblPr>
  </w:style>
  <w:style w:type="character" w:customStyle="1" w:styleId="A1">
    <w:name w:val="A1"/>
    <w:uiPriority w:val="99"/>
    <w:rsid w:val="00452B47"/>
    <w:rPr>
      <w:rFonts w:cs="Inter"/>
      <w:color w:val="000000"/>
      <w:sz w:val="19"/>
      <w:szCs w:val="19"/>
      <w:u w:val="single"/>
    </w:rPr>
  </w:style>
  <w:style w:type="paragraph" w:customStyle="1" w:styleId="AppendixH1">
    <w:name w:val="Appendix H1"/>
    <w:basedOn w:val="Heading1"/>
    <w:qFormat/>
    <w:rsid w:val="00202443"/>
    <w:pPr>
      <w:spacing w:before="1440" w:line="640" w:lineRule="exact"/>
      <w:jc w:val="left"/>
    </w:pPr>
    <w:rPr>
      <w:color w:val="362C85"/>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39326">
      <w:bodyDiv w:val="1"/>
      <w:marLeft w:val="0"/>
      <w:marRight w:val="0"/>
      <w:marTop w:val="0"/>
      <w:marBottom w:val="0"/>
      <w:divBdr>
        <w:top w:val="none" w:sz="0" w:space="0" w:color="auto"/>
        <w:left w:val="none" w:sz="0" w:space="0" w:color="auto"/>
        <w:bottom w:val="none" w:sz="0" w:space="0" w:color="auto"/>
        <w:right w:val="none" w:sz="0" w:space="0" w:color="auto"/>
      </w:divBdr>
    </w:div>
    <w:div w:id="179587097">
      <w:bodyDiv w:val="1"/>
      <w:marLeft w:val="0"/>
      <w:marRight w:val="0"/>
      <w:marTop w:val="0"/>
      <w:marBottom w:val="0"/>
      <w:divBdr>
        <w:top w:val="none" w:sz="0" w:space="0" w:color="auto"/>
        <w:left w:val="none" w:sz="0" w:space="0" w:color="auto"/>
        <w:bottom w:val="none" w:sz="0" w:space="0" w:color="auto"/>
        <w:right w:val="none" w:sz="0" w:space="0" w:color="auto"/>
      </w:divBdr>
    </w:div>
    <w:div w:id="528222481">
      <w:bodyDiv w:val="1"/>
      <w:marLeft w:val="0"/>
      <w:marRight w:val="0"/>
      <w:marTop w:val="0"/>
      <w:marBottom w:val="0"/>
      <w:divBdr>
        <w:top w:val="none" w:sz="0" w:space="0" w:color="auto"/>
        <w:left w:val="none" w:sz="0" w:space="0" w:color="auto"/>
        <w:bottom w:val="none" w:sz="0" w:space="0" w:color="auto"/>
        <w:right w:val="none" w:sz="0" w:space="0" w:color="auto"/>
      </w:divBdr>
    </w:div>
    <w:div w:id="824666283">
      <w:bodyDiv w:val="1"/>
      <w:marLeft w:val="0"/>
      <w:marRight w:val="0"/>
      <w:marTop w:val="0"/>
      <w:marBottom w:val="0"/>
      <w:divBdr>
        <w:top w:val="none" w:sz="0" w:space="0" w:color="auto"/>
        <w:left w:val="none" w:sz="0" w:space="0" w:color="auto"/>
        <w:bottom w:val="none" w:sz="0" w:space="0" w:color="auto"/>
        <w:right w:val="none" w:sz="0" w:space="0" w:color="auto"/>
      </w:divBdr>
    </w:div>
    <w:div w:id="1177577015">
      <w:bodyDiv w:val="1"/>
      <w:marLeft w:val="0"/>
      <w:marRight w:val="0"/>
      <w:marTop w:val="0"/>
      <w:marBottom w:val="0"/>
      <w:divBdr>
        <w:top w:val="none" w:sz="0" w:space="0" w:color="auto"/>
        <w:left w:val="none" w:sz="0" w:space="0" w:color="auto"/>
        <w:bottom w:val="none" w:sz="0" w:space="0" w:color="auto"/>
        <w:right w:val="none" w:sz="0" w:space="0" w:color="auto"/>
      </w:divBdr>
      <w:divsChild>
        <w:div w:id="215508811">
          <w:marLeft w:val="0"/>
          <w:marRight w:val="0"/>
          <w:marTop w:val="0"/>
          <w:marBottom w:val="0"/>
          <w:divBdr>
            <w:top w:val="none" w:sz="0" w:space="0" w:color="auto"/>
            <w:left w:val="none" w:sz="0" w:space="0" w:color="auto"/>
            <w:bottom w:val="none" w:sz="0" w:space="0" w:color="auto"/>
            <w:right w:val="none" w:sz="0" w:space="0" w:color="auto"/>
          </w:divBdr>
        </w:div>
        <w:div w:id="1557232865">
          <w:marLeft w:val="0"/>
          <w:marRight w:val="0"/>
          <w:marTop w:val="0"/>
          <w:marBottom w:val="0"/>
          <w:divBdr>
            <w:top w:val="none" w:sz="0" w:space="0" w:color="auto"/>
            <w:left w:val="none" w:sz="0" w:space="0" w:color="auto"/>
            <w:bottom w:val="none" w:sz="0" w:space="0" w:color="auto"/>
            <w:right w:val="none" w:sz="0" w:space="0" w:color="auto"/>
          </w:divBdr>
        </w:div>
        <w:div w:id="1766415982">
          <w:marLeft w:val="0"/>
          <w:marRight w:val="0"/>
          <w:marTop w:val="0"/>
          <w:marBottom w:val="0"/>
          <w:divBdr>
            <w:top w:val="none" w:sz="0" w:space="0" w:color="auto"/>
            <w:left w:val="none" w:sz="0" w:space="0" w:color="auto"/>
            <w:bottom w:val="none" w:sz="0" w:space="0" w:color="auto"/>
            <w:right w:val="none" w:sz="0" w:space="0" w:color="auto"/>
          </w:divBdr>
        </w:div>
        <w:div w:id="1876699141">
          <w:marLeft w:val="0"/>
          <w:marRight w:val="0"/>
          <w:marTop w:val="0"/>
          <w:marBottom w:val="0"/>
          <w:divBdr>
            <w:top w:val="none" w:sz="0" w:space="0" w:color="auto"/>
            <w:left w:val="none" w:sz="0" w:space="0" w:color="auto"/>
            <w:bottom w:val="none" w:sz="0" w:space="0" w:color="auto"/>
            <w:right w:val="none" w:sz="0" w:space="0" w:color="auto"/>
          </w:divBdr>
        </w:div>
      </w:divsChild>
    </w:div>
    <w:div w:id="1788161248">
      <w:bodyDiv w:val="1"/>
      <w:marLeft w:val="0"/>
      <w:marRight w:val="0"/>
      <w:marTop w:val="0"/>
      <w:marBottom w:val="0"/>
      <w:divBdr>
        <w:top w:val="none" w:sz="0" w:space="0" w:color="auto"/>
        <w:left w:val="none" w:sz="0" w:space="0" w:color="auto"/>
        <w:bottom w:val="none" w:sz="0" w:space="0" w:color="auto"/>
        <w:right w:val="none" w:sz="0" w:space="0" w:color="auto"/>
      </w:divBdr>
    </w:div>
    <w:div w:id="183529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g"/><Relationship Id="rId117" Type="http://schemas.openxmlformats.org/officeDocument/2006/relationships/fontTable" Target="fontTable.xml"/><Relationship Id="rId21" Type="http://schemas.openxmlformats.org/officeDocument/2006/relationships/footer" Target="footer3.xml"/><Relationship Id="rId42" Type="http://schemas.openxmlformats.org/officeDocument/2006/relationships/image" Target="media/image10.png"/><Relationship Id="rId47" Type="http://schemas.openxmlformats.org/officeDocument/2006/relationships/hyperlink" Target="https://www.nrf.gov.au/" TargetMode="External"/><Relationship Id="rId63" Type="http://schemas.openxmlformats.org/officeDocument/2006/relationships/hyperlink" Target="https://arena.gov.au/news/record-funding-for-arena-to-supercharge-australias-net-zero-transition/" TargetMode="External"/><Relationship Id="rId68" Type="http://schemas.openxmlformats.org/officeDocument/2006/relationships/hyperlink" Target="https://www.ato.gov.au/about-ato/new-legislation/in-detail/businesses/hydrogen-production-and-critical-minerals-tax-incentives" TargetMode="External"/><Relationship Id="rId84" Type="http://schemas.openxmlformats.org/officeDocument/2006/relationships/hyperlink" Target="https://www.agriculture.gov.au/agriculture-land/farm-food-drought/innovation/research_and_development_corporations_and_companies" TargetMode="External"/><Relationship Id="rId89" Type="http://schemas.openxmlformats.org/officeDocument/2006/relationships/image" Target="media/image27.svg"/><Relationship Id="rId112" Type="http://schemas.openxmlformats.org/officeDocument/2006/relationships/hyperlink" Target="https://treasury.gov.au/publication/p2024-526942" TargetMode="External"/><Relationship Id="rId16" Type="http://schemas.openxmlformats.org/officeDocument/2006/relationships/hyperlink" Target="https://creativecommons.org/licenses/by/4.0/" TargetMode="External"/><Relationship Id="rId107" Type="http://schemas.openxmlformats.org/officeDocument/2006/relationships/image" Target="media/image31.png"/><Relationship Id="rId11" Type="http://schemas.openxmlformats.org/officeDocument/2006/relationships/image" Target="media/image1.jpeg"/><Relationship Id="rId32" Type="http://schemas.openxmlformats.org/officeDocument/2006/relationships/footer" Target="footer7.xml"/><Relationship Id="rId37" Type="http://schemas.openxmlformats.org/officeDocument/2006/relationships/image" Target="media/image8.png"/><Relationship Id="rId53" Type="http://schemas.openxmlformats.org/officeDocument/2006/relationships/image" Target="media/image16.png"/><Relationship Id="rId58" Type="http://schemas.openxmlformats.org/officeDocument/2006/relationships/image" Target="media/image21.svg"/><Relationship Id="rId74" Type="http://schemas.openxmlformats.org/officeDocument/2006/relationships/hyperlink" Target="https://www.agriculture.gov.au/sites/default/files/documents/national-agricultural-traceability-strategy.pdf" TargetMode="External"/><Relationship Id="rId79" Type="http://schemas.openxmlformats.org/officeDocument/2006/relationships/image" Target="media/image24.png"/><Relationship Id="rId102" Type="http://schemas.openxmlformats.org/officeDocument/2006/relationships/hyperlink" Target="https://www.industry.gov.au/publications/list-critical-technologies-national-interest" TargetMode="External"/><Relationship Id="rId5" Type="http://schemas.openxmlformats.org/officeDocument/2006/relationships/numbering" Target="numbering.xml"/><Relationship Id="rId90" Type="http://schemas.openxmlformats.org/officeDocument/2006/relationships/hyperlink" Target="https://www.industry.gov.au/publications/national-quantum-strategy" TargetMode="External"/><Relationship Id="rId95" Type="http://schemas.openxmlformats.org/officeDocument/2006/relationships/hyperlink" Target="https://www.nrf.gov.au/" TargetMode="External"/><Relationship Id="rId22" Type="http://schemas.openxmlformats.org/officeDocument/2006/relationships/header" Target="header4.xml"/><Relationship Id="rId27" Type="http://schemas.openxmlformats.org/officeDocument/2006/relationships/header" Target="header5.xml"/><Relationship Id="rId43" Type="http://schemas.openxmlformats.org/officeDocument/2006/relationships/image" Target="media/image11.png"/><Relationship Id="rId48" Type="http://schemas.openxmlformats.org/officeDocument/2006/relationships/hyperlink" Target="https://www.exportfinance.gov.au/criticalminerals" TargetMode="External"/><Relationship Id="rId64" Type="http://schemas.openxmlformats.org/officeDocument/2006/relationships/hyperlink" Target="https://www.industry.gov.au/science-technology-and-innovation/industry-innovation/industry-growth-program" TargetMode="External"/><Relationship Id="rId69" Type="http://schemas.openxmlformats.org/officeDocument/2006/relationships/footer" Target="footer9.xml"/><Relationship Id="rId113" Type="http://schemas.openxmlformats.org/officeDocument/2006/relationships/image" Target="media/image32.png"/><Relationship Id="rId118" Type="http://schemas.openxmlformats.org/officeDocument/2006/relationships/theme" Target="theme/theme1.xml"/><Relationship Id="rId80" Type="http://schemas.openxmlformats.org/officeDocument/2006/relationships/hyperlink" Target="https://www.agriculture.gov.au/biosecurity-trade/market-access-trade/national-traceability/grantsprogram" TargetMode="External"/><Relationship Id="rId85" Type="http://schemas.openxmlformats.org/officeDocument/2006/relationships/image" Target="media/image25.png"/><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33" Type="http://schemas.openxmlformats.org/officeDocument/2006/relationships/image" Target="media/image6.png"/><Relationship Id="rId38" Type="http://schemas.openxmlformats.org/officeDocument/2006/relationships/image" Target="media/image9.svg"/><Relationship Id="rId59" Type="http://schemas.openxmlformats.org/officeDocument/2006/relationships/hyperlink" Target="https://www.dcceew.gov.au/energy/publications/australias-national-hydrogen-strategy" TargetMode="External"/><Relationship Id="rId103" Type="http://schemas.openxmlformats.org/officeDocument/2006/relationships/image" Target="media/image30.png"/><Relationship Id="rId108" Type="http://schemas.openxmlformats.org/officeDocument/2006/relationships/hyperlink" Target="https://www.aea.gov.au/" TargetMode="External"/><Relationship Id="rId54" Type="http://schemas.openxmlformats.org/officeDocument/2006/relationships/image" Target="media/image17.svg"/><Relationship Id="rId70" Type="http://schemas.openxmlformats.org/officeDocument/2006/relationships/hyperlink" Target="https://www.agriculture.gov.au/agriculture-land/farm-food-drought/innovation/research_and_development_corporations_and_companies" TargetMode="External"/><Relationship Id="rId75" Type="http://schemas.openxmlformats.org/officeDocument/2006/relationships/hyperlink" Target="https://www.agriculture.gov.au/agriculture-land/farm-food-drought/climatechange/ag-and-land-sectoral-plan" TargetMode="External"/><Relationship Id="rId91" Type="http://schemas.openxmlformats.org/officeDocument/2006/relationships/hyperlink" Target="https://www.industry.gov.au/publications/list-critical-technologies-national-interest" TargetMode="External"/><Relationship Id="rId96" Type="http://schemas.openxmlformats.org/officeDocument/2006/relationships/hyperlink" Target="https://www.industry.gov.au/science-technology-and-innovation/industry-innovation/industry-growth-progra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4.xml"/><Relationship Id="rId28" Type="http://schemas.openxmlformats.org/officeDocument/2006/relationships/header" Target="header6.xml"/><Relationship Id="rId49" Type="http://schemas.openxmlformats.org/officeDocument/2006/relationships/footer" Target="footer8.xml"/><Relationship Id="rId114" Type="http://schemas.openxmlformats.org/officeDocument/2006/relationships/hyperlink" Target="https://arena.gov.au/news/record-funding-for-arena-to-supercharge-australias-net-zero-transition/" TargetMode="Externa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image" Target="media/image12.png"/><Relationship Id="rId52" Type="http://schemas.openxmlformats.org/officeDocument/2006/relationships/hyperlink" Target="https://www.legislation.gov.au/F2023L00716/latest/text" TargetMode="External"/><Relationship Id="rId60" Type="http://schemas.openxmlformats.org/officeDocument/2006/relationships/hyperlink" Target="https://www.industry.gov.au/publications/list-critical-technologies-national-interest" TargetMode="External"/><Relationship Id="rId65" Type="http://schemas.openxmlformats.org/officeDocument/2006/relationships/hyperlink" Target="https://www.cefc.com.au/" TargetMode="External"/><Relationship Id="rId73" Type="http://schemas.openxmlformats.org/officeDocument/2006/relationships/hyperlink" Target="https://www.legislation.gov.au/F2023L00716/latest/text" TargetMode="External"/><Relationship Id="rId78" Type="http://schemas.openxmlformats.org/officeDocument/2006/relationships/hyperlink" Target="https://www.industry.gov.au/publications/list-critical-technologies-national-interest" TargetMode="External"/><Relationship Id="rId81" Type="http://schemas.openxmlformats.org/officeDocument/2006/relationships/hyperlink" Target="https://www.nrf.gov.au/" TargetMode="External"/><Relationship Id="rId86" Type="http://schemas.openxmlformats.org/officeDocument/2006/relationships/hyperlink" Target="https://www.aea.gov.au/" TargetMode="External"/><Relationship Id="rId94" Type="http://schemas.openxmlformats.org/officeDocument/2006/relationships/image" Target="media/image28.png"/><Relationship Id="rId99" Type="http://schemas.openxmlformats.org/officeDocument/2006/relationships/image" Target="media/image29.png"/><Relationship Id="rId101" Type="http://schemas.openxmlformats.org/officeDocument/2006/relationships/hyperlink" Target="https://www.legislation.gov.au/F2023L00716/latest/tex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2.xml"/><Relationship Id="rId39" Type="http://schemas.openxmlformats.org/officeDocument/2006/relationships/hyperlink" Target="https://www.industry.gov.au/publications/critical-minerals-strategy-2023-2030" TargetMode="External"/><Relationship Id="rId109" Type="http://schemas.openxmlformats.org/officeDocument/2006/relationships/hyperlink" Target="https://www.legislation.gov.au/F2023L00716/latest/text" TargetMode="External"/><Relationship Id="rId34" Type="http://schemas.openxmlformats.org/officeDocument/2006/relationships/image" Target="media/image7.jpeg"/><Relationship Id="rId50" Type="http://schemas.openxmlformats.org/officeDocument/2006/relationships/image" Target="media/image15.png"/><Relationship Id="rId55" Type="http://schemas.openxmlformats.org/officeDocument/2006/relationships/image" Target="media/image18.png"/><Relationship Id="rId76" Type="http://schemas.openxmlformats.org/officeDocument/2006/relationships/hyperlink" Target="https://www.infrastructure.gov.au/media-communications-arts/better-connectivity-plan-regional-and-rural-australia/farm-connectivity-program" TargetMode="External"/><Relationship Id="rId97" Type="http://schemas.openxmlformats.org/officeDocument/2006/relationships/hyperlink" Target="https://www.asca.gov.au/" TargetMode="External"/><Relationship Id="rId104" Type="http://schemas.openxmlformats.org/officeDocument/2006/relationships/hyperlink" Target="https://arena.gov.au/news/record-funding-for-arena-to-supercharge-australias-net-zero-transition/" TargetMode="External"/><Relationship Id="rId7" Type="http://schemas.openxmlformats.org/officeDocument/2006/relationships/settings" Target="settings.xml"/><Relationship Id="rId71" Type="http://schemas.openxmlformats.org/officeDocument/2006/relationships/image" Target="media/image23.png"/><Relationship Id="rId92" Type="http://schemas.openxmlformats.org/officeDocument/2006/relationships/hyperlink" Target="https://treasury.gov.au/publication/p2024-526942" TargetMode="Externa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yperlink" Target="https://www.mseq.vc/" TargetMode="External"/><Relationship Id="rId40" Type="http://schemas.openxmlformats.org/officeDocument/2006/relationships/hyperlink" Target="https://www.industry.gov.au/publications/list-critical-technologies-national-interest" TargetMode="External"/><Relationship Id="rId45" Type="http://schemas.openxmlformats.org/officeDocument/2006/relationships/image" Target="media/image13.png"/><Relationship Id="rId66" Type="http://schemas.openxmlformats.org/officeDocument/2006/relationships/hyperlink" Target="https://www.nrf.gov.au/" TargetMode="External"/><Relationship Id="rId87" Type="http://schemas.openxmlformats.org/officeDocument/2006/relationships/hyperlink" Target="https://www.legislation.gov.au/F2023L00716/latest/text" TargetMode="External"/><Relationship Id="rId110" Type="http://schemas.openxmlformats.org/officeDocument/2006/relationships/hyperlink" Target="https://www.industry.gov.au/publications/critical-minerals-strategy-2023-2030" TargetMode="External"/><Relationship Id="rId115" Type="http://schemas.openxmlformats.org/officeDocument/2006/relationships/hyperlink" Target="https://www.nrf.gov.au/" TargetMode="External"/><Relationship Id="rId61" Type="http://schemas.openxmlformats.org/officeDocument/2006/relationships/hyperlink" Target="https://www.dcceew.gov.au/energy/hydrogen/hydrogen-headstart-program" TargetMode="External"/><Relationship Id="rId82" Type="http://schemas.openxmlformats.org/officeDocument/2006/relationships/hyperlink" Target="https://www.industry.gov.au/science-technology-and-innovation/industry-innovation/industry-growth-program" TargetMode="External"/><Relationship Id="rId19" Type="http://schemas.openxmlformats.org/officeDocument/2006/relationships/header" Target="header3.xml"/><Relationship Id="rId14" Type="http://schemas.openxmlformats.org/officeDocument/2006/relationships/footer" Target="footer1.xml"/><Relationship Id="rId30" Type="http://schemas.openxmlformats.org/officeDocument/2006/relationships/footer" Target="footer6.xml"/><Relationship Id="rId35" Type="http://schemas.openxmlformats.org/officeDocument/2006/relationships/hyperlink" Target="https://www.aea.gov.au/" TargetMode="External"/><Relationship Id="rId56" Type="http://schemas.openxmlformats.org/officeDocument/2006/relationships/image" Target="media/image19.svg"/><Relationship Id="rId77" Type="http://schemas.openxmlformats.org/officeDocument/2006/relationships/hyperlink" Target="https://www.agriculture.gov.au/agriculture-land/farm-food-drought/drought/future-drought-fund" TargetMode="External"/><Relationship Id="rId100" Type="http://schemas.openxmlformats.org/officeDocument/2006/relationships/hyperlink" Target="https://www.aea.gov.au/" TargetMode="External"/><Relationship Id="rId105" Type="http://schemas.openxmlformats.org/officeDocument/2006/relationships/hyperlink" Target="https://www.industry.gov.au/science-technology-and-innovation/industry-innovation/industry-growth-program" TargetMode="External"/><Relationship Id="rId8" Type="http://schemas.openxmlformats.org/officeDocument/2006/relationships/webSettings" Target="webSettings.xml"/><Relationship Id="rId51" Type="http://schemas.openxmlformats.org/officeDocument/2006/relationships/hyperlink" Target="https://www.aea.gov.au" TargetMode="External"/><Relationship Id="rId72" Type="http://schemas.openxmlformats.org/officeDocument/2006/relationships/hyperlink" Target="https://www.aea.gov.au/" TargetMode="External"/><Relationship Id="rId93" Type="http://schemas.openxmlformats.org/officeDocument/2006/relationships/hyperlink" Target="https://www.minister.defence.gov.au/media-releases/2024-04-17/2024-national-defence-strategy" TargetMode="External"/><Relationship Id="rId98" Type="http://schemas.openxmlformats.org/officeDocument/2006/relationships/hyperlink" Target="https://www.industry.gov.au/science-technology-and-innovation/industry-innovation/critical-technologies-challenge-program" TargetMode="External"/><Relationship Id="rId3" Type="http://schemas.openxmlformats.org/officeDocument/2006/relationships/customXml" Target="../customXml/item3.xml"/><Relationship Id="rId25" Type="http://schemas.openxmlformats.org/officeDocument/2006/relationships/image" Target="media/image4.png"/><Relationship Id="rId46" Type="http://schemas.openxmlformats.org/officeDocument/2006/relationships/hyperlink" Target="https://budget.gov.au/content/03-future-made.htm" TargetMode="External"/><Relationship Id="rId67" Type="http://schemas.openxmlformats.org/officeDocument/2006/relationships/hyperlink" Target="https://www.dcceew.gov.au/energy/hydrogen/hydrogen-headstart-program" TargetMode="External"/><Relationship Id="rId116" Type="http://schemas.openxmlformats.org/officeDocument/2006/relationships/hyperlink" Target="https://www.industry.gov.au/science-technology-and-innovation/industry-innovation/industry-growth-program" TargetMode="External"/><Relationship Id="rId20" Type="http://schemas.openxmlformats.org/officeDocument/2006/relationships/footer" Target="footer2.xml"/><Relationship Id="rId41" Type="http://schemas.openxmlformats.org/officeDocument/2006/relationships/hyperlink" Target="https://treasury.gov.au/publication/p2024-526942" TargetMode="External"/><Relationship Id="rId62" Type="http://schemas.openxmlformats.org/officeDocument/2006/relationships/image" Target="media/image22.png"/><Relationship Id="rId83" Type="http://schemas.openxmlformats.org/officeDocument/2006/relationships/footer" Target="footer10.xml"/><Relationship Id="rId88" Type="http://schemas.openxmlformats.org/officeDocument/2006/relationships/image" Target="media/image26.png"/><Relationship Id="rId111" Type="http://schemas.openxmlformats.org/officeDocument/2006/relationships/hyperlink" Target="https://www.industry.gov.au/publications/list-critical-technologies-national-interest" TargetMode="External"/><Relationship Id="rId15" Type="http://schemas.openxmlformats.org/officeDocument/2006/relationships/image" Target="media/image3.jpeg"/><Relationship Id="rId36" Type="http://schemas.openxmlformats.org/officeDocument/2006/relationships/hyperlink" Target="https://www.legislation.gov.au/F2023L00716/latest/text" TargetMode="External"/><Relationship Id="rId57" Type="http://schemas.openxmlformats.org/officeDocument/2006/relationships/image" Target="media/image20.png"/><Relationship Id="rId106" Type="http://schemas.openxmlformats.org/officeDocument/2006/relationships/hyperlink" Target="https://www.nrf.gov.au"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14.png"/></Relationships>
</file>

<file path=word/_rels/footer8.xml.rels><?xml version="1.0" encoding="UTF-8" standalone="yes"?>
<Relationships xmlns="http://schemas.openxmlformats.org/package/2006/relationships"><Relationship Id="rId1" Type="http://schemas.openxmlformats.org/officeDocument/2006/relationships/image" Target="media/image14.png"/></Relationships>
</file>

<file path=word/_rels/footer9.xml.rels><?xml version="1.0" encoding="UTF-8" standalone="yes"?>
<Relationships xmlns="http://schemas.openxmlformats.org/package/2006/relationships"><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www.bdo.com.au/en-au/insights/food-agribusiness/the-future-of-australian-agribusiness" TargetMode="External"/><Relationship Id="rId13" Type="http://schemas.openxmlformats.org/officeDocument/2006/relationships/hyperlink" Target="https://www.industry.gov.au/sites/default/files/2023-05/national-quantum-strategy.pdf" TargetMode="External"/><Relationship Id="rId18" Type="http://schemas.openxmlformats.org/officeDocument/2006/relationships/hyperlink" Target="https://www.globaldata.com/store/report/ai-theme-analysis-executive-briefing/" TargetMode="External"/><Relationship Id="rId3" Type="http://schemas.openxmlformats.org/officeDocument/2006/relationships/hyperlink" Target="https://www.iea.org/reports/critical-minerals-market-review-2023" TargetMode="External"/><Relationship Id="rId21" Type="http://schemas.openxmlformats.org/officeDocument/2006/relationships/hyperlink" Target="https://www.nextmsc.com/report/australia-additive-manufacturing-am-market" TargetMode="External"/><Relationship Id="rId7" Type="http://schemas.openxmlformats.org/officeDocument/2006/relationships/hyperlink" Target="https://www.iea.org/reports/renewables-2023" TargetMode="External"/><Relationship Id="rId12" Type="http://schemas.openxmlformats.org/officeDocument/2006/relationships/hyperlink" Target="https://www.csiro.au/en/work-with-us/services/consultancy-strategic-advice-services/csiro-futures/future-industries/quantum" TargetMode="External"/><Relationship Id="rId17" Type="http://schemas.openxmlformats.org/officeDocument/2006/relationships/hyperlink" Target="https://www.ibisworld.com/au/industry/artificial-intelligence/5562/" TargetMode="External"/><Relationship Id="rId2" Type="http://schemas.openxmlformats.org/officeDocument/2006/relationships/hyperlink" Target="https://www.industry.gov.au/publications/resources-and-energy-quarterly-december-2023" TargetMode="External"/><Relationship Id="rId16" Type="http://schemas.openxmlformats.org/officeDocument/2006/relationships/hyperlink" Target="https://www.ibisworld.com/au/industry/artificial-intelligence/5562/" TargetMode="External"/><Relationship Id="rId20" Type="http://schemas.openxmlformats.org/officeDocument/2006/relationships/hyperlink" Target="https://www.nextmsc.com/report/australia-additive-manufacturing-am-market" TargetMode="External"/><Relationship Id="rId1" Type="http://schemas.openxmlformats.org/officeDocument/2006/relationships/hyperlink" Target="https://www.industry.gov.au/publications/resources-and-energy-quarterly-december-2023" TargetMode="External"/><Relationship Id="rId6" Type="http://schemas.openxmlformats.org/officeDocument/2006/relationships/hyperlink" Target="https://www.iea.org/reports/renewables-2023" TargetMode="External"/><Relationship Id="rId11" Type="http://schemas.openxmlformats.org/officeDocument/2006/relationships/hyperlink" Target="https://www.gminsights.com/industry-analysis/digital-agriculture-market" TargetMode="External"/><Relationship Id="rId5" Type="http://schemas.openxmlformats.org/officeDocument/2006/relationships/hyperlink" Target="https://www.dcceew.gov.au/sites/default/files/documents/state-of-hydrogen-2022.pdf" TargetMode="External"/><Relationship Id="rId15" Type="http://schemas.openxmlformats.org/officeDocument/2006/relationships/hyperlink" Target="https://www.globaldata.com/store/report/quantum-computing-theme-analysis/" TargetMode="External"/><Relationship Id="rId23" Type="http://schemas.openxmlformats.org/officeDocument/2006/relationships/hyperlink" Target="https://store.frost.com/global-additive-manufacturing-growth-opportunities.html" TargetMode="External"/><Relationship Id="rId10" Type="http://schemas.openxmlformats.org/officeDocument/2006/relationships/hyperlink" Target="https://www.gminsights.com/industry-analysis/digital-agriculture-market" TargetMode="External"/><Relationship Id="rId19" Type="http://schemas.openxmlformats.org/officeDocument/2006/relationships/hyperlink" Target="https://www.globaldata.com/store/report/ai-theme-analysis-executive-briefing/" TargetMode="External"/><Relationship Id="rId4" Type="http://schemas.openxmlformats.org/officeDocument/2006/relationships/hyperlink" Target="https://www.dcceew.gov.au/sites/default/files/documents/state-of-hydrogen-2022.pdf" TargetMode="External"/><Relationship Id="rId9" Type="http://schemas.openxmlformats.org/officeDocument/2006/relationships/hyperlink" Target="https://www.bdo.com.au/en-au/insights/food-agribusiness/the-future-of-australian-agribusiness" TargetMode="External"/><Relationship Id="rId14" Type="http://schemas.openxmlformats.org/officeDocument/2006/relationships/hyperlink" Target="https://www.globaldata.com/store/report/quantum-computing-theme-analysis/" TargetMode="External"/><Relationship Id="rId22" Type="http://schemas.openxmlformats.org/officeDocument/2006/relationships/hyperlink" Target="https://store.frost.com/global-additive-manufacturing-growth-opportunities.html" TargetMode="External"/></Relationships>
</file>

<file path=word/theme/theme1.xml><?xml version="1.0" encoding="utf-8"?>
<a:theme xmlns:a="http://schemas.openxmlformats.org/drawingml/2006/main" name="Office Theme">
  <a:themeElements>
    <a:clrScheme name="AEA">
      <a:dk1>
        <a:sysClr val="windowText" lastClr="000000"/>
      </a:dk1>
      <a:lt1>
        <a:sysClr val="window" lastClr="FFFFFF"/>
      </a:lt1>
      <a:dk2>
        <a:srgbClr val="010035"/>
      </a:dk2>
      <a:lt2>
        <a:srgbClr val="53B171"/>
      </a:lt2>
      <a:accent1>
        <a:srgbClr val="008464"/>
      </a:accent1>
      <a:accent2>
        <a:srgbClr val="006954"/>
      </a:accent2>
      <a:accent3>
        <a:srgbClr val="362C85"/>
      </a:accent3>
      <a:accent4>
        <a:srgbClr val="F2F2F2"/>
      </a:accent4>
      <a:accent5>
        <a:srgbClr val="D8D8D8"/>
      </a:accent5>
      <a:accent6>
        <a:srgbClr val="BFBFBF"/>
      </a:accent6>
      <a:hlink>
        <a:srgbClr val="006954"/>
      </a:hlink>
      <a:folHlink>
        <a:srgbClr val="362C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AFD4EF5D4CC49957D76BFB6CB676F" ma:contentTypeVersion="31" ma:contentTypeDescription="Create a new document." ma:contentTypeScope="" ma:versionID="f61e695d43c44883bfa8e622b74d6113">
  <xsd:schema xmlns:xsd="http://www.w3.org/2001/XMLSchema" xmlns:xs="http://www.w3.org/2001/XMLSchema" xmlns:p="http://schemas.microsoft.com/office/2006/metadata/properties" xmlns:ns2="f3bc3699-71c5-4223-b114-a3a8ca58b323" xmlns:ns3="9106da40-373e-4458-aaaf-ef92b94dd02f" targetNamespace="http://schemas.microsoft.com/office/2006/metadata/properties" ma:root="true" ma:fieldsID="7331f5337635919133fa855f98b2dbf0" ns2:_="" ns3:_="">
    <xsd:import namespace="f3bc3699-71c5-4223-b114-a3a8ca58b323"/>
    <xsd:import namespace="9106da40-373e-4458-aaaf-ef92b94dd02f"/>
    <xsd:element name="properties">
      <xsd:complexType>
        <xsd:sequence>
          <xsd:element name="documentManagement">
            <xsd:complexType>
              <xsd:all>
                <xsd:element ref="ns2:_Flow_SignoffStatus" minOccurs="0"/>
                <xsd:element ref="ns2:m"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TeamRequestingLegalAdvice" minOccurs="0"/>
                <xsd:element ref="ns2:LinktoDocument" minOccurs="0"/>
                <xsd:element ref="ns2:SummaryOfAd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c3699-71c5-4223-b114-a3a8ca58b323" elementFormDefault="qualified">
    <xsd:import namespace="http://schemas.microsoft.com/office/2006/documentManagement/types"/>
    <xsd:import namespace="http://schemas.microsoft.com/office/infopath/2007/PartnerControls"/>
    <xsd:element name="_Flow_SignoffStatus" ma:index="3" nillable="true" ma:displayName="Sign-off status" ma:internalName="Sign_x002d_off_x0020_status" ma:readOnly="false">
      <xsd:simpleType>
        <xsd:restriction base="dms:Text"/>
      </xsd:simpleType>
    </xsd:element>
    <xsd:element name="m" ma:index="4" nillable="true" ma:displayName="m" ma:format="DateTime" ma:internalName="m" ma:readOnly="false">
      <xsd:simpleType>
        <xsd:restriction base="dms:DateTime"/>
      </xsd:simpleType>
    </xsd:element>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amRequestingLegalAdvice" ma:index="27" nillable="true" ma:displayName="Team Requesting Advice" ma:format="Dropdown" ma:internalName="TeamRequestingLegalAdvice">
      <xsd:simpleType>
        <xsd:restriction base="dms:Text">
          <xsd:maxLength value="255"/>
        </xsd:restriction>
      </xsd:simpleType>
    </xsd:element>
    <xsd:element name="LinktoDocument" ma:index="28" nillable="true" ma:displayName="Link to Document" ma:format="Dropdown" ma:internalName="LinktoDocument">
      <xsd:simpleType>
        <xsd:restriction base="dms:Text">
          <xsd:maxLength value="255"/>
        </xsd:restriction>
      </xsd:simpleType>
    </xsd:element>
    <xsd:element name="SummaryOfAdvice" ma:index="29" nillable="true" ma:displayName="Summary Of Advice" ma:format="Dropdown" ma:internalName="SummaryOfAdvi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06da40-373e-4458-aaaf-ef92b94dd02f"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3" nillable="true" ma:displayName="Taxonomy Catch All Column" ma:hidden="true" ma:list="{8d0f940e-4531-4d4e-bd79-f0759acf603f}" ma:internalName="TaxCatchAll" ma:readOnly="false" ma:showField="CatchAllData" ma:web="9106da40-373e-4458-aaaf-ef92b94dd0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106da40-373e-4458-aaaf-ef92b94dd02f" xsi:nil="true"/>
    <lcf76f155ced4ddcb4097134ff3c332f xmlns="f3bc3699-71c5-4223-b114-a3a8ca58b323">
      <Terms xmlns="http://schemas.microsoft.com/office/infopath/2007/PartnerControls"/>
    </lcf76f155ced4ddcb4097134ff3c332f>
    <SummaryOfAdvice xmlns="f3bc3699-71c5-4223-b114-a3a8ca58b323" xsi:nil="true"/>
    <LinktoDocument xmlns="f3bc3699-71c5-4223-b114-a3a8ca58b323" xsi:nil="true"/>
    <m xmlns="f3bc3699-71c5-4223-b114-a3a8ca58b323" xsi:nil="true"/>
    <_Flow_SignoffStatus xmlns="f3bc3699-71c5-4223-b114-a3a8ca58b323" xsi:nil="true"/>
    <TeamRequestingLegalAdvice xmlns="f3bc3699-71c5-4223-b114-a3a8ca58b3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F5C77-6885-480B-B6AC-9AE5CC99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c3699-71c5-4223-b114-a3a8ca58b323"/>
    <ds:schemaRef ds:uri="9106da40-373e-4458-aaaf-ef92b94dd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ED7AE4-8E0B-4F46-8005-0690637D0153}">
  <ds:schemaRefs>
    <ds:schemaRef ds:uri="http://www.w3.org/XML/1998/namespace"/>
    <ds:schemaRef ds:uri="http://purl.org/dc/dcmitype/"/>
    <ds:schemaRef ds:uri="f3bc3699-71c5-4223-b114-a3a8ca58b323"/>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9106da40-373e-4458-aaaf-ef92b94dd02f"/>
    <ds:schemaRef ds:uri="http://schemas.microsoft.com/office/2006/metadata/properties"/>
  </ds:schemaRefs>
</ds:datastoreItem>
</file>

<file path=customXml/itemProps3.xml><?xml version="1.0" encoding="utf-8"?>
<ds:datastoreItem xmlns:ds="http://schemas.openxmlformats.org/officeDocument/2006/customXml" ds:itemID="{2BE2DC4A-D41B-458C-A54A-555EF782B247}">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8345</Words>
  <Characters>45149</Characters>
  <Application>Microsoft Office Word</Application>
  <DocSecurity>4</DocSecurity>
  <Lines>1220</Lines>
  <Paragraphs>876</Paragraphs>
  <ScaleCrop>false</ScaleCrop>
  <Company/>
  <LinksUpToDate>false</LinksUpToDate>
  <CharactersWithSpaces>52618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MENZIES-MCVEY,Drew</dc:creator>
  <cp:keywords/>
  <dc:description/>
  <cp:lastModifiedBy>RANDO,Hannah</cp:lastModifiedBy>
  <cp:revision>2</cp:revision>
  <cp:lastPrinted>2024-07-03T07:27:00Z</cp:lastPrinted>
  <dcterms:created xsi:type="dcterms:W3CDTF">2024-09-12T04:28:00Z</dcterms:created>
  <dcterms:modified xsi:type="dcterms:W3CDTF">2024-09-12T04:28:00Z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375cff28</vt:lpwstr>
  </property>
  <property fmtid="{D5CDD505-2E9C-101B-9397-08002B2CF9AE}" pid="3" name="ClassificationContentMarkingFooterFontProps">
    <vt:lpwstr>#ff0000,12,ARIAL</vt:lpwstr>
  </property>
  <property fmtid="{D5CDD505-2E9C-101B-9397-08002B2CF9AE}" pid="4" name="ClassificationContentMarkingFooterText">
    <vt:lpwstr>OFFICIAL: Sensitive</vt:lpwstr>
  </property>
  <property fmtid="{D5CDD505-2E9C-101B-9397-08002B2CF9AE}" pid="5" name="ContentTypeId">
    <vt:lpwstr>0x010100F46AFD4EF5D4CC49957D76BFB6CB676F</vt:lpwstr>
  </property>
  <property fmtid="{D5CDD505-2E9C-101B-9397-08002B2CF9AE}" pid="6" name="DocHub_Year">
    <vt:lpwstr>1354;#2024|a9509632-5de2-45f9-9fc7-c24df7848880</vt:lpwstr>
  </property>
  <property fmtid="{D5CDD505-2E9C-101B-9397-08002B2CF9AE}" pid="7" name="DocHub_DocumentType">
    <vt:lpwstr>2;#Brief|b7e64b99-5aaf-414e-afb1-f6ec93007836</vt:lpwstr>
  </property>
  <property fmtid="{D5CDD505-2E9C-101B-9397-08002B2CF9AE}" pid="8" name="DocHub_SecurityClassification">
    <vt:lpwstr>1;#OFFICIAL|6106d03b-a1a0-4e30-9d91-d5e9fb4314f9</vt:lpwstr>
  </property>
  <property fmtid="{D5CDD505-2E9C-101B-9397-08002B2CF9AE}" pid="9" name="DocHub_WorkActivity">
    <vt:lpwstr>119;#Co-Ordination|b2f03ce7-3aaf-482d-9c20-6cf20d0435a5</vt:lpwstr>
  </property>
  <property fmtid="{D5CDD505-2E9C-101B-9397-08002B2CF9AE}" pid="10" name="DocHub_NRFWorkingGroups">
    <vt:lpwstr/>
  </property>
  <property fmtid="{D5CDD505-2E9C-101B-9397-08002B2CF9AE}" pid="11" name="DocHub_Keywords">
    <vt:lpwstr>1442;#2024|ef5b3ca4-49fb-4e66-a161-957fe3091ace</vt:lpwstr>
  </property>
  <property fmtid="{D5CDD505-2E9C-101B-9397-08002B2CF9AE}" pid="12" name="MediaServiceImageTags">
    <vt:lpwstr/>
  </property>
  <property fmtid="{D5CDD505-2E9C-101B-9397-08002B2CF9AE}" pid="13" name="MSIP_Label_79d889eb-932f-4752-8739-64d25806ef64_Enabled">
    <vt:lpwstr>true</vt:lpwstr>
  </property>
  <property fmtid="{D5CDD505-2E9C-101B-9397-08002B2CF9AE}" pid="14" name="MSIP_Label_79d889eb-932f-4752-8739-64d25806ef64_SetDate">
    <vt:lpwstr>2024-06-07T03:48:38Z</vt:lpwstr>
  </property>
  <property fmtid="{D5CDD505-2E9C-101B-9397-08002B2CF9AE}" pid="15" name="MSIP_Label_79d889eb-932f-4752-8739-64d25806ef64_Method">
    <vt:lpwstr>Privileged</vt:lpwstr>
  </property>
  <property fmtid="{D5CDD505-2E9C-101B-9397-08002B2CF9AE}" pid="16" name="MSIP_Label_79d889eb-932f-4752-8739-64d25806ef64_Name">
    <vt:lpwstr>79d889eb-932f-4752-8739-64d25806ef64</vt:lpwstr>
  </property>
  <property fmtid="{D5CDD505-2E9C-101B-9397-08002B2CF9AE}" pid="17" name="MSIP_Label_79d889eb-932f-4752-8739-64d25806ef64_SiteId">
    <vt:lpwstr>dd0cfd15-4558-4b12-8bad-ea26984fc417</vt:lpwstr>
  </property>
  <property fmtid="{D5CDD505-2E9C-101B-9397-08002B2CF9AE}" pid="18" name="MSIP_Label_79d889eb-932f-4752-8739-64d25806ef64_ActionId">
    <vt:lpwstr>668c9de2-e695-48fc-80b6-a2f5dbb54239</vt:lpwstr>
  </property>
  <property fmtid="{D5CDD505-2E9C-101B-9397-08002B2CF9AE}" pid="19" name="MSIP_Label_79d889eb-932f-4752-8739-64d25806ef64_ContentBits">
    <vt:lpwstr>0</vt:lpwstr>
  </property>
</Properties>
</file>