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body>
    <w:p w:rsidR="00107DD5" w:rsidP="00064FD4" w:rsidRDefault="00874997" w14:paraId="4C7D9A4B" w14:textId="32887308">
      <w:pPr>
        <w:tabs>
          <w:tab w:val="left" w:pos="0"/>
        </w:tabs>
        <w:ind w:hanging="426"/>
      </w:pPr>
      <w:r>
        <w:rPr>
          <w:noProof/>
        </w:rPr>
        <w:drawing>
          <wp:anchor distT="0" distB="0" distL="114300" distR="114300" simplePos="0" relativeHeight="251658245" behindDoc="0" locked="0" layoutInCell="1" allowOverlap="1" wp14:anchorId="12FE3018" wp14:editId="3DF320CF">
            <wp:simplePos x="0" y="0"/>
            <wp:positionH relativeFrom="column">
              <wp:posOffset>4725670</wp:posOffset>
            </wp:positionH>
            <wp:positionV relativeFrom="paragraph">
              <wp:posOffset>772160</wp:posOffset>
            </wp:positionV>
            <wp:extent cx="1749425" cy="1773555"/>
            <wp:effectExtent l="0" t="0" r="0" b="0"/>
            <wp:wrapSquare wrapText="bothSides"/>
            <wp:docPr id="202954103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4103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9425" cy="177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4815" w:rsidR="00221D8F">
        <w:rPr>
          <w:b/>
          <w:bCs/>
          <w:noProof/>
        </w:rPr>
        <w:drawing>
          <wp:anchor distT="0" distB="0" distL="114300" distR="114300" simplePos="0" relativeHeight="251658240" behindDoc="1" locked="1" layoutInCell="1" allowOverlap="1" wp14:anchorId="408DBCBA" wp14:editId="188DF59A">
            <wp:simplePos x="0" y="0"/>
            <wp:positionH relativeFrom="page">
              <wp:align>left</wp:align>
            </wp:positionH>
            <wp:positionV relativeFrom="page">
              <wp:posOffset>25400</wp:posOffset>
            </wp:positionV>
            <wp:extent cx="7559675" cy="156591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56591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913DA1B" wp14:editId="4EC82FB1">
            <wp:extent cx="1622002" cy="701675"/>
            <wp:effectExtent l="0" t="0" r="0" b="3175"/>
            <wp:docPr id="3" name="Graphic 3" descr="Australia's Economic Acceler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s Economic Accelerator logo"/>
                    <pic:cNvPicPr/>
                  </pic:nvPicPr>
                  <pic:blipFill rotWithShape="1">
                    <a:blip r:embed="rId13" cstate="print">
                      <a:extLst>
                        <a:ext uri="{28A0092B-C50C-407E-A947-70E740481C1C}">
                          <a14:useLocalDpi xmlns:a14="http://schemas.microsoft.com/office/drawing/2010/main" val="0"/>
                        </a:ext>
                      </a:extLst>
                    </a:blip>
                    <a:srcRect l="52996"/>
                    <a:stretch/>
                  </pic:blipFill>
                  <pic:spPr bwMode="auto">
                    <a:xfrm>
                      <a:off x="0" y="0"/>
                      <a:ext cx="1622753" cy="702000"/>
                    </a:xfrm>
                    <a:prstGeom prst="rect">
                      <a:avLst/>
                    </a:prstGeom>
                    <a:ln>
                      <a:noFill/>
                    </a:ln>
                    <a:extLst>
                      <a:ext uri="{53640926-AAD7-44D8-BBD7-CCE9431645EC}">
                        <a14:shadowObscured xmlns:a14="http://schemas.microsoft.com/office/drawing/2010/main"/>
                      </a:ext>
                    </a:extLst>
                  </pic:spPr>
                </pic:pic>
              </a:graphicData>
            </a:graphic>
          </wp:inline>
        </w:drawing>
      </w:r>
    </w:p>
    <w:bookmarkStart w:name="_Toc126923157" w:displacedByCustomXml="next" w:id="0"/>
    <w:bookmarkStart w:name="_Toc126923146" w:displacedByCustomXml="next" w:id="1"/>
    <w:sdt>
      <w:sdtPr>
        <w:alias w:val="Title"/>
        <w:tag w:val=""/>
        <w:id w:val="1478495247"/>
        <w:placeholder>
          <w:docPart w:val="F0482B3A85CC4CF7BF1119189E32A6A3"/>
        </w:placeholder>
        <w:dataBinding w:prefixMappings="xmlns:ns0='http://purl.org/dc/elements/1.1/' xmlns:ns1='http://schemas.openxmlformats.org/package/2006/metadata/core-properties' " w:xpath="/ns1:coreProperties[1]/ns0:title[1]" w:storeItemID="{6C3C8BC8-F283-45AE-878A-BAB7291924A1}"/>
        <w:text/>
      </w:sdtPr>
      <w:sdtContent>
        <w:p w:rsidR="00221D8F" w:rsidP="00893A34" w:rsidRDefault="001374E6" w14:paraId="09950318" w14:textId="1A907295">
          <w:pPr>
            <w:pStyle w:val="Heading1"/>
          </w:pPr>
          <w:r>
            <w:t>Critical &amp; Strategic Minerals Processing</w:t>
          </w:r>
        </w:p>
      </w:sdtContent>
    </w:sdt>
    <w:bookmarkEnd w:displacedByCustomXml="prev" w:id="0"/>
    <w:bookmarkEnd w:displacedByCustomXml="prev" w:id="1"/>
    <w:p w:rsidR="0058654B" w:rsidP="0058654B" w:rsidRDefault="0058654B" w14:paraId="1FE734D4" w14:textId="77777777">
      <w:pPr>
        <w:rPr>
          <w:rStyle w:val="A1"/>
        </w:rPr>
      </w:pPr>
      <w:bookmarkStart w:name="_Toc126923148" w:id="2"/>
      <w:bookmarkStart w:name="_Toc126923159" w:id="3"/>
      <w:bookmarkStart w:name="_Toc126923318" w:id="4"/>
    </w:p>
    <w:p w:rsidR="0058654B" w:rsidP="0058654B" w:rsidRDefault="00000000" w14:paraId="599A0613" w14:textId="74AB6714">
      <w:hyperlink r:id="R8182acba0ec640e2">
        <w:r w:rsidRPr="196948D9" w:rsidR="0058654B">
          <w:rPr>
            <w:rStyle w:val="Hyperlink"/>
            <w:rFonts w:cs="Inter"/>
            <w:color w:val="215E9F"/>
          </w:rPr>
          <w:t>Australia’s Economic Accelerator</w:t>
        </w:r>
      </w:hyperlink>
      <w:r w:rsidRPr="196948D9" w:rsidR="0058654B">
        <w:rPr>
          <w:rStyle w:val="A1"/>
          <w:sz w:val="22"/>
          <w:szCs w:val="22"/>
        </w:rPr>
        <w:t xml:space="preserve"> </w:t>
      </w:r>
      <w:r w:rsidR="0058654B">
        <w:rPr/>
        <w:t xml:space="preserve">(AEA) is a $1.6 billion Australian Government investment aimed at transforming Australia’s research translation and commercialisation landscape. AEA grants support the Australian Government </w:t>
      </w:r>
      <w:r w:rsidR="0058654B">
        <w:rPr/>
        <w:t>identified</w:t>
      </w:r>
      <w:r w:rsidR="0058654B">
        <w:rPr/>
        <w:t xml:space="preserve"> priority areas for the economy (outlined in the </w:t>
      </w:r>
      <w:hyperlink r:id="R83e3c3a62ba1476a">
        <w:r w:rsidRPr="196948D9" w:rsidR="0058654B">
          <w:rPr>
            <w:rStyle w:val="Hyperlink"/>
            <w:rFonts w:cs="Inter"/>
            <w:i w:val="1"/>
            <w:iCs w:val="1"/>
            <w:color w:val="215E9F"/>
          </w:rPr>
          <w:t>National Reconstruction Fund Corporation (Priority Areas) Declaration 2023</w:t>
        </w:r>
        <w:r w:rsidRPr="196948D9" w:rsidR="0058654B">
          <w:rPr>
            <w:rStyle w:val="Hyperlink"/>
            <w:color w:val="000000" w:themeColor="text1" w:themeTint="FF" w:themeShade="FF"/>
          </w:rPr>
          <w:t>)</w:t>
        </w:r>
      </w:hyperlink>
      <w:r w:rsidR="0058654B">
        <w:rPr/>
        <w:t>.</w:t>
      </w:r>
      <w:r w:rsidR="0058654B">
        <w:rPr/>
        <w:t xml:space="preserve"> Within these priorities, the first round of grants will prioritise projects that align with one or more of 6 focus areas, including advanced manufacturing, artificial intelligence, digital agriculture, quantum, sustainable fuels, and critical and strategic minerals processing. </w:t>
      </w:r>
    </w:p>
    <w:p w:rsidR="00462D53" w:rsidP="00346FD9" w:rsidRDefault="0058654B" w14:paraId="3BD8CE7E" w14:textId="0D981CA8">
      <w:r>
        <w:t xml:space="preserve">Critical and strategic minerals processing are technologies enabling the transition from mineral to material, namely processing and early value chain manufacturing techniques using mineral inputs deemed critical or strategic to the national interest. This includes technologies to enable exploration, low environmental impact extraction and processing of minerals that are vital for the energy transition like copper; new and sustainable value-add opportunities in green metals; novel and high purity refining method </w:t>
      </w:r>
      <w:r w:rsidR="00346FD9">
        <w:t>or minerals like lithium; and other technologies to improve mineral recovery and processing efficiency.</w:t>
      </w:r>
    </w:p>
    <w:p w:rsidR="009C05D4" w:rsidP="009C05D4" w:rsidRDefault="009C05D4" w14:paraId="6349ECD2" w14:textId="204CF782">
      <w:pPr>
        <w:pStyle w:val="Heading2"/>
      </w:pPr>
      <w:r w:rsidRPr="009C05D4">
        <w:t xml:space="preserve">National priority </w:t>
      </w:r>
    </w:p>
    <w:tbl>
      <w:tblPr>
        <w:tblStyle w:val="TableGrid"/>
        <w:tblW w:w="9209" w:type="dxa"/>
        <w:tblLook w:val="04A0" w:firstRow="1" w:lastRow="0" w:firstColumn="1" w:lastColumn="0" w:noHBand="0" w:noVBand="1"/>
      </w:tblPr>
      <w:tblGrid>
        <w:gridCol w:w="2977"/>
        <w:gridCol w:w="6232"/>
      </w:tblGrid>
      <w:tr w:rsidRPr="00CE537A" w:rsidR="009F0514" w:rsidTr="00861D62" w14:paraId="558DB397" w14:textId="77777777">
        <w:tc>
          <w:tcPr>
            <w:tcW w:w="2977" w:type="dxa"/>
            <w:tcBorders>
              <w:top w:val="nil"/>
              <w:left w:val="nil"/>
              <w:bottom w:val="nil"/>
              <w:right w:val="nil"/>
            </w:tcBorders>
          </w:tcPr>
          <w:p w:rsidR="009F0514" w:rsidP="00A61767" w:rsidRDefault="00EC3186" w14:paraId="42826C53" w14:textId="1F901906">
            <w:pPr>
              <w:tabs>
                <w:tab w:val="left" w:pos="2526"/>
              </w:tabs>
            </w:pPr>
            <w:r>
              <w:rPr>
                <w:noProof/>
              </w:rPr>
              <w:drawing>
                <wp:anchor distT="0" distB="0" distL="114300" distR="114300" simplePos="0" relativeHeight="251659269" behindDoc="1" locked="0" layoutInCell="1" allowOverlap="1" wp14:anchorId="04DB4AF0" wp14:editId="642BA3B9">
                  <wp:simplePos x="0" y="0"/>
                  <wp:positionH relativeFrom="column">
                    <wp:posOffset>44943</wp:posOffset>
                  </wp:positionH>
                  <wp:positionV relativeFrom="paragraph">
                    <wp:posOffset>492</wp:posOffset>
                  </wp:positionV>
                  <wp:extent cx="1638000" cy="1638000"/>
                  <wp:effectExtent l="0" t="0" r="0" b="0"/>
                  <wp:wrapTight wrapText="bothSides">
                    <wp:wrapPolygon edited="0">
                      <wp:start x="8040" y="251"/>
                      <wp:lineTo x="6533" y="1005"/>
                      <wp:lineTo x="2010" y="4271"/>
                      <wp:lineTo x="251" y="8543"/>
                      <wp:lineTo x="251" y="12814"/>
                      <wp:lineTo x="2261" y="16834"/>
                      <wp:lineTo x="2261" y="17588"/>
                      <wp:lineTo x="8040" y="21106"/>
                      <wp:lineTo x="13317" y="21106"/>
                      <wp:lineTo x="14322" y="20603"/>
                      <wp:lineTo x="19096" y="17337"/>
                      <wp:lineTo x="20855" y="12814"/>
                      <wp:lineTo x="21106" y="8794"/>
                      <wp:lineTo x="19598" y="4271"/>
                      <wp:lineTo x="15578" y="1508"/>
                      <wp:lineTo x="13317" y="251"/>
                      <wp:lineTo x="8040" y="251"/>
                    </wp:wrapPolygon>
                  </wp:wrapTight>
                  <wp:docPr id="1417686093" name="Graphic 1" descr="Value-add in resour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86093" name="Graphic 1" descr="Value-add in resources icon"/>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38000" cy="1638000"/>
                          </a:xfrm>
                          <a:prstGeom prst="rect">
                            <a:avLst/>
                          </a:prstGeom>
                        </pic:spPr>
                      </pic:pic>
                    </a:graphicData>
                  </a:graphic>
                  <wp14:sizeRelH relativeFrom="margin">
                    <wp14:pctWidth>0</wp14:pctWidth>
                  </wp14:sizeRelH>
                  <wp14:sizeRelV relativeFrom="margin">
                    <wp14:pctHeight>0</wp14:pctHeight>
                  </wp14:sizeRelV>
                </wp:anchor>
              </w:drawing>
            </w:r>
          </w:p>
        </w:tc>
        <w:tc>
          <w:tcPr>
            <w:tcW w:w="6232" w:type="dxa"/>
            <w:tcBorders>
              <w:top w:val="nil"/>
              <w:left w:val="nil"/>
              <w:bottom w:val="nil"/>
              <w:right w:val="nil"/>
            </w:tcBorders>
          </w:tcPr>
          <w:p w:rsidR="009F0514" w:rsidP="00A61767" w:rsidRDefault="009F0514" w14:paraId="00DA9DB2" w14:textId="77777777">
            <w:pPr>
              <w:ind w:left="177"/>
            </w:pPr>
            <w:r w:rsidRPr="009C05D4">
              <w:t xml:space="preserve">Strong policy priority that aligns with our resource advantage and feeds into other priority sectors. Critical and strategic minerals processing </w:t>
            </w:r>
            <w:proofErr w:type="gramStart"/>
            <w:r w:rsidRPr="009C05D4">
              <w:t>aligns</w:t>
            </w:r>
            <w:proofErr w:type="gramEnd"/>
            <w:r w:rsidRPr="009C05D4">
              <w:t xml:space="preserve"> with the national priority areas through adding value to extracted goods and the building of onshore industrial capability. </w:t>
            </w:r>
          </w:p>
          <w:p w:rsidRPr="00D97256" w:rsidR="009F0514" w:rsidP="004C3509" w:rsidRDefault="00000000" w14:paraId="5DE0774D" w14:textId="77777777">
            <w:pPr>
              <w:pStyle w:val="ListBullet"/>
              <w:numPr>
                <w:ilvl w:val="0"/>
                <w:numId w:val="27"/>
              </w:numPr>
              <w:ind w:left="885" w:hanging="425"/>
            </w:pPr>
            <w:hyperlink w:history="1" r:id="rId18">
              <w:r w:rsidRPr="00546915" w:rsidR="009F0514">
                <w:rPr>
                  <w:rStyle w:val="Hyperlink"/>
                  <w:color w:val="215E9F"/>
                </w:rPr>
                <w:t>Critical Minerals Strategy 2023-2030</w:t>
              </w:r>
            </w:hyperlink>
          </w:p>
          <w:p w:rsidRPr="009F0514" w:rsidR="009F0514" w:rsidP="004C3509" w:rsidRDefault="00000000" w14:paraId="621EB2FC" w14:textId="77777777">
            <w:pPr>
              <w:pStyle w:val="ListBullet"/>
              <w:numPr>
                <w:ilvl w:val="0"/>
                <w:numId w:val="27"/>
              </w:numPr>
              <w:ind w:left="885" w:hanging="425"/>
              <w:rPr>
                <w:rStyle w:val="Hyperlink"/>
                <w:color w:val="215E9F"/>
                <w:u w:val="none"/>
              </w:rPr>
            </w:pPr>
            <w:hyperlink w:history="1" r:id="rId19">
              <w:r w:rsidRPr="00546915" w:rsidR="009F0514">
                <w:rPr>
                  <w:rStyle w:val="Hyperlink"/>
                  <w:color w:val="215E9F"/>
                </w:rPr>
                <w:t>List of Critical Technologies in the National Interest</w:t>
              </w:r>
            </w:hyperlink>
          </w:p>
          <w:p w:rsidRPr="009F0514" w:rsidR="009F0514" w:rsidP="004C3509" w:rsidRDefault="00000000" w14:paraId="473EF6C5" w14:textId="2C2A13A2">
            <w:pPr>
              <w:pStyle w:val="ListBullet"/>
              <w:numPr>
                <w:ilvl w:val="0"/>
                <w:numId w:val="27"/>
              </w:numPr>
              <w:ind w:left="885" w:hanging="425"/>
              <w:rPr>
                <w:color w:val="215E9F"/>
              </w:rPr>
            </w:pPr>
            <w:hyperlink w:history="1" r:id="rId20">
              <w:r w:rsidRPr="009F0514" w:rsidR="009F0514">
                <w:rPr>
                  <w:rStyle w:val="Hyperlink"/>
                  <w:color w:val="215E9F"/>
                </w:rPr>
                <w:t>Future Made in Australia agenda</w:t>
              </w:r>
            </w:hyperlink>
            <w:r w:rsidR="00EC3186">
              <w:rPr>
                <w:rStyle w:val="Hyperlink"/>
                <w:color w:val="215E9F"/>
              </w:rPr>
              <w:br/>
            </w:r>
          </w:p>
        </w:tc>
      </w:tr>
    </w:tbl>
    <w:tbl>
      <w:tblPr>
        <w:tblStyle w:val="EDU-Basic"/>
        <w:tblW w:w="9351" w:type="dxa"/>
        <w:tblInd w:w="-147" w:type="dxa"/>
        <w:tblLook w:val="04A0" w:firstRow="1" w:lastRow="0" w:firstColumn="1" w:lastColumn="0" w:noHBand="0" w:noVBand="1"/>
      </w:tblPr>
      <w:tblGrid>
        <w:gridCol w:w="4673"/>
        <w:gridCol w:w="4678"/>
      </w:tblGrid>
      <w:tr w:rsidR="00867DC0" w:rsidTr="00BA41B9" w14:paraId="51FF34DB" w14:textId="777777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010035"/>
            <w:vAlign w:val="top"/>
          </w:tcPr>
          <w:p w:rsidRPr="001A3B28" w:rsidR="00867DC0" w:rsidP="00911C01" w:rsidRDefault="00867DC0" w14:paraId="7930381D" w14:textId="06CBB84B">
            <w:pPr>
              <w:spacing w:after="100"/>
            </w:pPr>
            <w:r>
              <w:rPr>
                <w:rFonts w:cs="Inter ExtraBold"/>
                <w:b/>
                <w:bCs/>
                <w:sz w:val="23"/>
                <w:szCs w:val="23"/>
              </w:rPr>
              <w:t>Advantage</w:t>
            </w:r>
            <w:r w:rsidRPr="001A3B28">
              <w:rPr>
                <w:rFonts w:cs="Inter ExtraBold"/>
                <w:b/>
                <w:bCs/>
                <w:sz w:val="23"/>
                <w:szCs w:val="23"/>
              </w:rPr>
              <w:t xml:space="preserve"> </w:t>
            </w:r>
          </w:p>
        </w:tc>
        <w:tc>
          <w:tcPr>
            <w:tcW w:w="4678" w:type="dxa"/>
            <w:shd w:val="clear" w:color="auto" w:fill="010035"/>
            <w:vAlign w:val="top"/>
          </w:tcPr>
          <w:p w:rsidRPr="001A3B28" w:rsidR="00867DC0" w:rsidP="00911C01" w:rsidRDefault="00867DC0" w14:paraId="49E5977D" w14:textId="77777777">
            <w:pPr>
              <w:spacing w:after="0"/>
              <w:cnfStyle w:val="100000000000" w:firstRow="1" w:lastRow="0" w:firstColumn="0" w:lastColumn="0" w:oddVBand="0" w:evenVBand="0" w:oddHBand="0" w:evenHBand="0" w:firstRowFirstColumn="0" w:firstRowLastColumn="0" w:lastRowFirstColumn="0" w:lastRowLastColumn="0"/>
            </w:pPr>
            <w:r w:rsidRPr="001A3B28">
              <w:rPr>
                <w:rFonts w:cs="Inter ExtraBold"/>
                <w:b/>
                <w:bCs/>
                <w:sz w:val="23"/>
                <w:szCs w:val="23"/>
              </w:rPr>
              <w:t xml:space="preserve">Opportunity </w:t>
            </w:r>
          </w:p>
        </w:tc>
      </w:tr>
      <w:tr w:rsidR="00867DC0" w:rsidTr="00BA41B9" w14:paraId="7B876C76" w14:textId="77777777">
        <w:trPr>
          <w:trHeight w:val="1192"/>
        </w:trPr>
        <w:tc>
          <w:tcPr>
            <w:cnfStyle w:val="001000000000" w:firstRow="0" w:lastRow="0" w:firstColumn="1" w:lastColumn="0" w:oddVBand="0" w:evenVBand="0" w:oddHBand="0" w:evenHBand="0" w:firstRowFirstColumn="0" w:firstRowLastColumn="0" w:lastRowFirstColumn="0" w:lastRowLastColumn="0"/>
            <w:tcW w:w="4673" w:type="dxa"/>
            <w:vAlign w:val="top"/>
          </w:tcPr>
          <w:p w:rsidRPr="00C73A15" w:rsidR="00867DC0" w:rsidP="00FF6E95" w:rsidRDefault="00C73A15" w14:paraId="469B96BE" w14:textId="4C0B37BF">
            <w:pPr>
              <w:spacing w:after="100"/>
            </w:pPr>
            <w:r w:rsidRPr="00C73A15">
              <w:rPr>
                <w:rFonts w:cs="Inter"/>
                <w:color w:val="000000"/>
              </w:rPr>
              <w:t>Australia possesses a diverse and rich mineral endowment and is a significant exporter of multiple critical and strategic mineral classes.</w:t>
            </w:r>
          </w:p>
        </w:tc>
        <w:tc>
          <w:tcPr>
            <w:tcW w:w="4678" w:type="dxa"/>
            <w:vAlign w:val="top"/>
          </w:tcPr>
          <w:p w:rsidR="00867DC0" w:rsidP="00903B6A" w:rsidRDefault="00C73A15" w14:paraId="59F2C10D" w14:textId="65C70A33">
            <w:pPr>
              <w:cnfStyle w:val="000000000000" w:firstRow="0" w:lastRow="0" w:firstColumn="0" w:lastColumn="0" w:oddVBand="0" w:evenVBand="0" w:oddHBand="0" w:evenHBand="0" w:firstRowFirstColumn="0" w:firstRowLastColumn="0" w:lastRowFirstColumn="0" w:lastRowLastColumn="0"/>
            </w:pPr>
            <w:r>
              <w:t>To utilise our mineral endowment and competitive energy factor costs to reduce sovereign risks and realise more value from growing global demand.</w:t>
            </w:r>
          </w:p>
        </w:tc>
      </w:tr>
    </w:tbl>
    <w:p w:rsidR="0094344D" w:rsidP="0094344D" w:rsidRDefault="0094344D" w14:paraId="36DA201B" w14:textId="72A969F0">
      <w:pPr>
        <w:pStyle w:val="Heading2"/>
      </w:pPr>
      <w:r>
        <w:lastRenderedPageBreak/>
        <w:t xml:space="preserve">Research strength </w:t>
      </w:r>
    </w:p>
    <w:p w:rsidR="004A4CF9" w:rsidP="000C1149" w:rsidRDefault="0038372C" w14:paraId="64E3878E" w14:textId="1544AF7E">
      <w:pPr>
        <w:spacing w:after="600"/>
      </w:pPr>
      <w:r>
        <w:rPr>
          <w:b/>
          <w:bCs/>
          <w:noProof/>
        </w:rPr>
        <w:drawing>
          <wp:anchor distT="0" distB="0" distL="114300" distR="114300" simplePos="0" relativeHeight="251658243" behindDoc="0" locked="0" layoutInCell="1" allowOverlap="1" wp14:anchorId="1DF608A2" wp14:editId="1BBD7898">
            <wp:simplePos x="0" y="0"/>
            <wp:positionH relativeFrom="column">
              <wp:posOffset>22860</wp:posOffset>
            </wp:positionH>
            <wp:positionV relativeFrom="paragraph">
              <wp:posOffset>421005</wp:posOffset>
            </wp:positionV>
            <wp:extent cx="766445" cy="776605"/>
            <wp:effectExtent l="0" t="0" r="0" b="4445"/>
            <wp:wrapSquare wrapText="bothSides"/>
            <wp:docPr id="139158580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85809"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6445" cy="776605"/>
                    </a:xfrm>
                    <a:prstGeom prst="rect">
                      <a:avLst/>
                    </a:prstGeom>
                  </pic:spPr>
                </pic:pic>
              </a:graphicData>
            </a:graphic>
            <wp14:sizeRelH relativeFrom="margin">
              <wp14:pctWidth>0</wp14:pctWidth>
            </wp14:sizeRelH>
            <wp14:sizeRelV relativeFrom="margin">
              <wp14:pctHeight>0</wp14:pctHeight>
            </wp14:sizeRelV>
          </wp:anchor>
        </w:drawing>
      </w:r>
      <w:r w:rsidR="0094344D">
        <w:t xml:space="preserve">Australia’s rank in the OECD calculated using 2018-2022 bibliometric data from Elsevier’s </w:t>
      </w:r>
      <w:proofErr w:type="spellStart"/>
      <w:r w:rsidR="0094344D">
        <w:t>SciVal</w:t>
      </w:r>
      <w:proofErr w:type="spellEnd"/>
      <w:r w:rsidR="0094344D">
        <w:t xml:space="preserve">. Critical &amp; strategic minerals processing was defined using custom search terms. </w:t>
      </w:r>
      <w:bookmarkEnd w:id="2"/>
      <w:bookmarkEnd w:id="3"/>
      <w:bookmarkEnd w:id="4"/>
    </w:p>
    <w:p w:rsidRPr="00CC5CA1" w:rsidR="00762A90" w:rsidP="00D67246" w:rsidRDefault="00524BAC" w14:paraId="4BD25052" w14:textId="4763AEB7">
      <w:pPr>
        <w:spacing w:after="960"/>
        <w:ind w:left="1701"/>
        <w:rPr>
          <w:highlight w:val="yellow"/>
        </w:rPr>
      </w:pPr>
      <w:r>
        <w:rPr>
          <w:b/>
          <w:bCs/>
          <w:noProof/>
        </w:rPr>
        <w:drawing>
          <wp:anchor distT="0" distB="0" distL="114300" distR="114300" simplePos="0" relativeHeight="251658242" behindDoc="1" locked="0" layoutInCell="1" allowOverlap="1" wp14:anchorId="3A67A673" wp14:editId="0A167CC6">
            <wp:simplePos x="0" y="0"/>
            <wp:positionH relativeFrom="margin">
              <wp:align>left</wp:align>
            </wp:positionH>
            <wp:positionV relativeFrom="paragraph">
              <wp:posOffset>510540</wp:posOffset>
            </wp:positionV>
            <wp:extent cx="788670" cy="799465"/>
            <wp:effectExtent l="0" t="0" r="0" b="635"/>
            <wp:wrapThrough wrapText="bothSides">
              <wp:wrapPolygon edited="0">
                <wp:start x="6261" y="515"/>
                <wp:lineTo x="3130" y="3088"/>
                <wp:lineTo x="0" y="7720"/>
                <wp:lineTo x="0" y="12867"/>
                <wp:lineTo x="1565" y="18014"/>
                <wp:lineTo x="6261" y="20588"/>
                <wp:lineTo x="6783" y="21102"/>
                <wp:lineTo x="13565" y="21102"/>
                <wp:lineTo x="14087" y="20588"/>
                <wp:lineTo x="18261" y="18014"/>
                <wp:lineTo x="20870" y="11838"/>
                <wp:lineTo x="20870" y="8235"/>
                <wp:lineTo x="17217" y="3603"/>
                <wp:lineTo x="14087" y="515"/>
                <wp:lineTo x="6261" y="515"/>
              </wp:wrapPolygon>
            </wp:wrapThrough>
            <wp:docPr id="3774243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24326" name="Picture 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8840" cy="799465"/>
                    </a:xfrm>
                    <a:prstGeom prst="rect">
                      <a:avLst/>
                    </a:prstGeom>
                  </pic:spPr>
                </pic:pic>
              </a:graphicData>
            </a:graphic>
            <wp14:sizeRelH relativeFrom="margin">
              <wp14:pctWidth>0</wp14:pctWidth>
            </wp14:sizeRelH>
            <wp14:sizeRelV relativeFrom="margin">
              <wp14:pctHeight>0</wp14:pctHeight>
            </wp14:sizeRelV>
          </wp:anchor>
        </w:drawing>
      </w:r>
      <w:r w:rsidRPr="00B569FB" w:rsidR="00762A90">
        <w:rPr>
          <w:b/>
          <w:bCs/>
        </w:rPr>
        <w:t>10</w:t>
      </w:r>
      <w:r w:rsidRPr="00B569FB" w:rsidR="00762A90">
        <w:rPr>
          <w:b/>
          <w:bCs/>
          <w:vertAlign w:val="superscript"/>
        </w:rPr>
        <w:t>th</w:t>
      </w:r>
      <w:r w:rsidRPr="00B569FB" w:rsidR="00762A90">
        <w:rPr>
          <w:b/>
          <w:bCs/>
        </w:rPr>
        <w:t xml:space="preserve"> </w:t>
      </w:r>
      <w:r w:rsidR="00F20FBC">
        <w:rPr>
          <w:b/>
          <w:bCs/>
        </w:rPr>
        <w:t xml:space="preserve">– </w:t>
      </w:r>
      <w:r w:rsidRPr="00B569FB" w:rsidR="00762A90">
        <w:rPr>
          <w:b/>
          <w:bCs/>
        </w:rPr>
        <w:t>Output</w:t>
      </w:r>
      <w:r w:rsidRPr="00830166" w:rsidR="00762A90">
        <w:t>: number of scholarly papers</w:t>
      </w:r>
    </w:p>
    <w:p w:rsidRPr="00CC5CA1" w:rsidR="00762A90" w:rsidP="00D67246" w:rsidRDefault="005B5111" w14:paraId="5E603A85" w14:textId="70A0826F">
      <w:pPr>
        <w:spacing w:after="960"/>
        <w:ind w:left="1701"/>
        <w:rPr>
          <w:highlight w:val="yellow"/>
        </w:rPr>
      </w:pPr>
      <w:r>
        <w:rPr>
          <w:b/>
          <w:bCs/>
          <w:noProof/>
        </w:rPr>
        <w:drawing>
          <wp:anchor distT="0" distB="0" distL="114300" distR="114300" simplePos="0" relativeHeight="251658244" behindDoc="0" locked="0" layoutInCell="1" allowOverlap="1" wp14:anchorId="56D817E8" wp14:editId="18BF9DD4">
            <wp:simplePos x="0" y="0"/>
            <wp:positionH relativeFrom="margin">
              <wp:align>left</wp:align>
            </wp:positionH>
            <wp:positionV relativeFrom="paragraph">
              <wp:posOffset>577850</wp:posOffset>
            </wp:positionV>
            <wp:extent cx="788670" cy="799465"/>
            <wp:effectExtent l="0" t="0" r="0" b="635"/>
            <wp:wrapSquare wrapText="bothSides"/>
            <wp:docPr id="188210914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09148" name="Picture 3">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8840" cy="799465"/>
                    </a:xfrm>
                    <a:prstGeom prst="rect">
                      <a:avLst/>
                    </a:prstGeom>
                  </pic:spPr>
                </pic:pic>
              </a:graphicData>
            </a:graphic>
            <wp14:sizeRelH relativeFrom="margin">
              <wp14:pctWidth>0</wp14:pctWidth>
            </wp14:sizeRelH>
            <wp14:sizeRelV relativeFrom="margin">
              <wp14:pctHeight>0</wp14:pctHeight>
            </wp14:sizeRelV>
          </wp:anchor>
        </w:drawing>
      </w:r>
      <w:r w:rsidRPr="00B569FB" w:rsidR="00762A90">
        <w:rPr>
          <w:b/>
          <w:bCs/>
        </w:rPr>
        <w:t>1</w:t>
      </w:r>
      <w:r w:rsidRPr="00B569FB" w:rsidR="00762A90">
        <w:rPr>
          <w:b/>
          <w:bCs/>
          <w:vertAlign w:val="superscript"/>
        </w:rPr>
        <w:t>st</w:t>
      </w:r>
      <w:r w:rsidRPr="00B569FB" w:rsidR="00762A90">
        <w:rPr>
          <w:b/>
          <w:bCs/>
        </w:rPr>
        <w:t xml:space="preserve"> </w:t>
      </w:r>
      <w:r w:rsidR="00F20FBC">
        <w:rPr>
          <w:b/>
          <w:bCs/>
        </w:rPr>
        <w:t xml:space="preserve">– </w:t>
      </w:r>
      <w:r w:rsidRPr="00B569FB" w:rsidR="00762A90">
        <w:rPr>
          <w:b/>
          <w:bCs/>
        </w:rPr>
        <w:t>Impact:</w:t>
      </w:r>
      <w:r w:rsidRPr="00884F60" w:rsidR="00762A90">
        <w:t xml:space="preserve"> field-weighted citation impact </w:t>
      </w:r>
    </w:p>
    <w:p w:rsidR="00762A90" w:rsidP="00D67246" w:rsidRDefault="00762A90" w14:paraId="2CB1ED43" w14:textId="333501F0">
      <w:pPr>
        <w:spacing w:after="1320"/>
        <w:ind w:left="1701"/>
        <w:rPr>
          <w:b/>
          <w:bCs/>
        </w:rPr>
      </w:pPr>
      <w:r w:rsidRPr="00B569FB">
        <w:rPr>
          <w:b/>
          <w:bCs/>
        </w:rPr>
        <w:t>1</w:t>
      </w:r>
      <w:r w:rsidRPr="00B569FB">
        <w:rPr>
          <w:b/>
          <w:bCs/>
          <w:vertAlign w:val="superscript"/>
        </w:rPr>
        <w:t>st</w:t>
      </w:r>
      <w:r w:rsidRPr="00B569FB">
        <w:rPr>
          <w:b/>
          <w:bCs/>
        </w:rPr>
        <w:t xml:space="preserve"> </w:t>
      </w:r>
      <w:r w:rsidR="00F20FBC">
        <w:rPr>
          <w:b/>
          <w:bCs/>
        </w:rPr>
        <w:t xml:space="preserve">– </w:t>
      </w:r>
      <w:r w:rsidRPr="00B569FB">
        <w:rPr>
          <w:b/>
          <w:bCs/>
        </w:rPr>
        <w:t>Quality:</w:t>
      </w:r>
      <w:r w:rsidRPr="00884F60">
        <w:t xml:space="preserve"> </w:t>
      </w:r>
      <w:proofErr w:type="gramStart"/>
      <w:r w:rsidRPr="00884F60">
        <w:t>amount</w:t>
      </w:r>
      <w:proofErr w:type="gramEnd"/>
      <w:r w:rsidRPr="00884F60">
        <w:t xml:space="preserve"> of papers in 10% most cited journal</w:t>
      </w:r>
    </w:p>
    <w:p w:rsidRPr="00D86090" w:rsidR="00D86090" w:rsidP="00D86090" w:rsidRDefault="00BC098F" w14:paraId="2E57FAB8" w14:textId="084288C5">
      <w:pPr>
        <w:pStyle w:val="Heading2"/>
      </w:pPr>
      <w:r>
        <w:rPr>
          <w:noProof/>
        </w:rPr>
        <w:drawing>
          <wp:anchor distT="0" distB="0" distL="114300" distR="114300" simplePos="0" relativeHeight="251658241" behindDoc="1" locked="0" layoutInCell="1" allowOverlap="1" wp14:anchorId="2460A744" wp14:editId="4EB31DB6">
            <wp:simplePos x="0" y="0"/>
            <wp:positionH relativeFrom="column">
              <wp:posOffset>-190500</wp:posOffset>
            </wp:positionH>
            <wp:positionV relativeFrom="paragraph">
              <wp:posOffset>506730</wp:posOffset>
            </wp:positionV>
            <wp:extent cx="1096645" cy="1099185"/>
            <wp:effectExtent l="0" t="0" r="8255" b="5715"/>
            <wp:wrapNone/>
            <wp:docPr id="61050306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03067" name="Picture 2">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6645" cy="1099185"/>
                    </a:xfrm>
                    <a:prstGeom prst="rect">
                      <a:avLst/>
                    </a:prstGeom>
                  </pic:spPr>
                </pic:pic>
              </a:graphicData>
            </a:graphic>
          </wp:anchor>
        </w:drawing>
      </w:r>
      <w:r w:rsidRPr="00D86090" w:rsidR="00D86090">
        <w:t xml:space="preserve">IP potential </w:t>
      </w:r>
    </w:p>
    <w:p w:rsidRPr="00B569FB" w:rsidR="00762A90" w:rsidP="00D67246" w:rsidRDefault="002923DC" w14:paraId="10CF4B02" w14:textId="0DE43E9B">
      <w:pPr>
        <w:ind w:left="1701"/>
        <w:rPr>
          <w:b/>
          <w:bCs/>
        </w:rPr>
      </w:pPr>
      <w:r w:rsidRPr="00B569FB">
        <w:rPr>
          <w:b/>
          <w:bCs/>
        </w:rPr>
        <w:t>91%</w:t>
      </w:r>
    </w:p>
    <w:p w:rsidRPr="00D86090" w:rsidR="00D86090" w:rsidP="00D67246" w:rsidRDefault="00D86090" w14:paraId="53DA2463" w14:textId="4F49D925">
      <w:pPr>
        <w:ind w:left="1701"/>
      </w:pPr>
      <w:r w:rsidRPr="00D86090">
        <w:t xml:space="preserve">Australia’s share of publications cited in patent applications compared to the OECD average expressed as a percentage. </w:t>
      </w:r>
    </w:p>
    <w:p w:rsidRPr="00D86090" w:rsidR="00D86090" w:rsidP="00D67246" w:rsidRDefault="00D86090" w14:paraId="72B2BF75" w14:textId="77777777">
      <w:pPr>
        <w:spacing w:after="1200"/>
        <w:ind w:left="1701"/>
      </w:pPr>
      <w:r w:rsidRPr="00D86090">
        <w:t xml:space="preserve">Refers to 2018-2022 patent and publication data in the Lens database. </w:t>
      </w:r>
    </w:p>
    <w:p w:rsidRPr="00D86090" w:rsidR="00D86090" w:rsidP="00D86090" w:rsidRDefault="00D86090" w14:paraId="4E67DD65" w14:textId="77777777">
      <w:pPr>
        <w:pStyle w:val="Heading2"/>
      </w:pPr>
      <w:r w:rsidRPr="00D86090">
        <w:t xml:space="preserve">Market opportunity assessment </w:t>
      </w:r>
    </w:p>
    <w:p w:rsidRPr="00EB7A7E" w:rsidR="003E0726" w:rsidP="00EB7A7E" w:rsidRDefault="003E0726" w14:paraId="353468CF" w14:textId="75EA231E">
      <w:pPr>
        <w:pStyle w:val="ListBullet"/>
        <w:ind w:left="284" w:hanging="284"/>
      </w:pPr>
      <w:r>
        <w:t>Australian market size of AU$56 billion in 2023</w:t>
      </w:r>
      <w:r w:rsidRPr="00173687">
        <w:rPr>
          <w:vertAlign w:val="superscript"/>
        </w:rPr>
        <w:footnoteReference w:id="2"/>
      </w:r>
      <w:r>
        <w:t xml:space="preserve"> </w:t>
      </w:r>
    </w:p>
    <w:p w:rsidR="00710C32" w:rsidP="00710C32" w:rsidRDefault="003E0726" w14:paraId="03AF4039" w14:textId="77777777">
      <w:pPr>
        <w:pStyle w:val="ListBullet"/>
        <w:ind w:left="284" w:hanging="284"/>
      </w:pPr>
      <w:r>
        <w:t>Projected compound annual market growth of 13.8% from 2018-23</w:t>
      </w:r>
      <w:r w:rsidRPr="00173687">
        <w:rPr>
          <w:vertAlign w:val="superscript"/>
        </w:rPr>
        <w:footnoteReference w:id="3"/>
      </w:r>
      <w:r w:rsidRPr="00173687">
        <w:rPr>
          <w:vertAlign w:val="superscript"/>
        </w:rPr>
        <w:t xml:space="preserve"> </w:t>
      </w:r>
      <w:r>
        <w:t xml:space="preserve"> </w:t>
      </w:r>
    </w:p>
    <w:p w:rsidRPr="00710C32" w:rsidR="003E0726" w:rsidP="00710C32" w:rsidRDefault="003E0726" w14:paraId="0D02F0ED" w14:textId="345388AE">
      <w:pPr>
        <w:pStyle w:val="ListBullet"/>
        <w:numPr>
          <w:ilvl w:val="0"/>
          <w:numId w:val="1"/>
        </w:numPr>
        <w:ind w:left="284" w:hanging="284"/>
      </w:pPr>
      <w:r>
        <w:t>Projected global market size of AU$465 billion in 2022</w:t>
      </w:r>
      <w:r w:rsidRPr="00F25F96">
        <w:rPr>
          <w:vertAlign w:val="superscript"/>
        </w:rPr>
        <w:footnoteReference w:id="4"/>
      </w:r>
    </w:p>
    <w:p w:rsidRPr="00D86090" w:rsidR="00D86090" w:rsidP="00D86090" w:rsidRDefault="00D86090" w14:paraId="6C1BF8A7" w14:textId="77777777">
      <w:pPr>
        <w:pStyle w:val="Heading2"/>
      </w:pPr>
      <w:r w:rsidRPr="00D86090">
        <w:lastRenderedPageBreak/>
        <w:t xml:space="preserve">Example industry problems </w:t>
      </w:r>
    </w:p>
    <w:p w:rsidR="00B310CF" w:rsidP="004C7CFE" w:rsidRDefault="00D86090" w14:paraId="551CA6C5" w14:textId="77777777">
      <w:r w:rsidRPr="00D86090">
        <w:t>AEA aims to provide developmental support for promising research commercialisation projects at the proof-of-concept or proof-of-scale level (TRL stages 3-7). Successful projects will scale up to meet emerging industry needs.</w:t>
      </w:r>
    </w:p>
    <w:tbl>
      <w:tblPr>
        <w:tblStyle w:val="EDU-Basic"/>
        <w:tblW w:w="0" w:type="auto"/>
        <w:tblLook w:val="04A0" w:firstRow="1" w:lastRow="0" w:firstColumn="1" w:lastColumn="0" w:noHBand="0" w:noVBand="1"/>
      </w:tblPr>
      <w:tblGrid>
        <w:gridCol w:w="3005"/>
        <w:gridCol w:w="3005"/>
        <w:gridCol w:w="3006"/>
      </w:tblGrid>
      <w:tr w:rsidR="001A3B28" w:rsidTr="00B25570" w14:paraId="7377607C" w14:textId="777777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005" w:type="dxa"/>
            <w:shd w:val="clear" w:color="auto" w:fill="010035"/>
            <w:vAlign w:val="top"/>
          </w:tcPr>
          <w:p w:rsidRPr="001A3B28" w:rsidR="001A3B28" w:rsidP="00DD0C70" w:rsidRDefault="001A3B28" w14:paraId="76876BEA" w14:textId="41424D22">
            <w:pPr>
              <w:spacing w:after="100"/>
            </w:pPr>
            <w:r w:rsidRPr="001A3B28">
              <w:rPr>
                <w:rFonts w:cs="Inter ExtraBold"/>
                <w:b/>
                <w:bCs/>
                <w:sz w:val="23"/>
                <w:szCs w:val="23"/>
              </w:rPr>
              <w:t xml:space="preserve">Industry problem </w:t>
            </w:r>
          </w:p>
        </w:tc>
        <w:tc>
          <w:tcPr>
            <w:tcW w:w="3005" w:type="dxa"/>
            <w:shd w:val="clear" w:color="auto" w:fill="010035"/>
            <w:vAlign w:val="top"/>
          </w:tcPr>
          <w:p w:rsidRPr="001A3B28" w:rsidR="001A3B28" w:rsidP="00DD0C70" w:rsidRDefault="001A3B28" w14:paraId="4443F0A9" w14:textId="3FDF2C48">
            <w:pPr>
              <w:spacing w:after="100"/>
              <w:cnfStyle w:val="100000000000" w:firstRow="1" w:lastRow="0" w:firstColumn="0" w:lastColumn="0" w:oddVBand="0" w:evenVBand="0" w:oddHBand="0" w:evenHBand="0" w:firstRowFirstColumn="0" w:firstRowLastColumn="0" w:lastRowFirstColumn="0" w:lastRowLastColumn="0"/>
            </w:pPr>
            <w:r w:rsidRPr="001A3B28">
              <w:rPr>
                <w:rFonts w:cs="Inter ExtraBold"/>
                <w:b/>
                <w:bCs/>
                <w:sz w:val="23"/>
                <w:szCs w:val="23"/>
              </w:rPr>
              <w:t xml:space="preserve">Opportunity </w:t>
            </w:r>
          </w:p>
        </w:tc>
        <w:tc>
          <w:tcPr>
            <w:tcW w:w="3006" w:type="dxa"/>
            <w:shd w:val="clear" w:color="auto" w:fill="010035"/>
            <w:vAlign w:val="top"/>
          </w:tcPr>
          <w:p w:rsidRPr="001A3B28" w:rsidR="001A3B28" w:rsidP="00DD0C70" w:rsidRDefault="001A3B28" w14:paraId="7D745896" w14:textId="303867C3">
            <w:pPr>
              <w:spacing w:after="100"/>
              <w:cnfStyle w:val="100000000000" w:firstRow="1" w:lastRow="0" w:firstColumn="0" w:lastColumn="0" w:oddVBand="0" w:evenVBand="0" w:oddHBand="0" w:evenHBand="0" w:firstRowFirstColumn="0" w:firstRowLastColumn="0" w:lastRowFirstColumn="0" w:lastRowLastColumn="0"/>
            </w:pPr>
            <w:r w:rsidRPr="001A3B28">
              <w:rPr>
                <w:rFonts w:cs="Inter ExtraBold"/>
                <w:b/>
                <w:bCs/>
                <w:sz w:val="23"/>
                <w:szCs w:val="23"/>
              </w:rPr>
              <w:t xml:space="preserve">Impact </w:t>
            </w:r>
          </w:p>
        </w:tc>
      </w:tr>
      <w:tr w:rsidR="00EF135D" w:rsidTr="00A55EE9" w14:paraId="76D88B3D" w14:textId="77777777">
        <w:trPr>
          <w:trHeight w:val="397"/>
        </w:trPr>
        <w:tc>
          <w:tcPr>
            <w:cnfStyle w:val="001000000000" w:firstRow="0" w:lastRow="0" w:firstColumn="1" w:lastColumn="0" w:oddVBand="0" w:evenVBand="0" w:oddHBand="0" w:evenHBand="0" w:firstRowFirstColumn="0" w:firstRowLastColumn="0" w:lastRowFirstColumn="0" w:lastRowLastColumn="0"/>
            <w:tcW w:w="3005" w:type="dxa"/>
            <w:vAlign w:val="top"/>
          </w:tcPr>
          <w:p w:rsidR="00EF135D" w:rsidP="00A55EE9" w:rsidRDefault="00EF135D" w14:paraId="45BD67C3" w14:textId="1565432A">
            <w:r>
              <w:t xml:space="preserve">Net zero minerals processing equipment and techniques remain relatively high cost. </w:t>
            </w:r>
          </w:p>
        </w:tc>
        <w:tc>
          <w:tcPr>
            <w:tcW w:w="3005" w:type="dxa"/>
            <w:vAlign w:val="top"/>
          </w:tcPr>
          <w:p w:rsidR="00EF135D" w:rsidP="00A55EE9" w:rsidRDefault="00EF135D" w14:paraId="0E428147" w14:textId="50EF459F">
            <w:pPr>
              <w:cnfStyle w:val="000000000000" w:firstRow="0" w:lastRow="0" w:firstColumn="0" w:lastColumn="0" w:oddVBand="0" w:evenVBand="0" w:oddHBand="0" w:evenHBand="0" w:firstRowFirstColumn="0" w:firstRowLastColumn="0" w:lastRowFirstColumn="0" w:lastRowLastColumn="0"/>
            </w:pPr>
            <w:r>
              <w:t xml:space="preserve">Development of cost-competitive clean processing methods (e.g. using electric arc furnaces and hydrogen or retro-fitting existing facilities). </w:t>
            </w:r>
          </w:p>
        </w:tc>
        <w:tc>
          <w:tcPr>
            <w:tcW w:w="3006" w:type="dxa"/>
            <w:vAlign w:val="top"/>
          </w:tcPr>
          <w:p w:rsidR="00EF135D" w:rsidP="00A55EE9" w:rsidRDefault="00EF135D" w14:paraId="286647AD" w14:textId="15913004">
            <w:pPr>
              <w:cnfStyle w:val="000000000000" w:firstRow="0" w:lastRow="0" w:firstColumn="0" w:lastColumn="0" w:oddVBand="0" w:evenVBand="0" w:oddHBand="0" w:evenHBand="0" w:firstRowFirstColumn="0" w:firstRowLastColumn="0" w:lastRowFirstColumn="0" w:lastRowLastColumn="0"/>
            </w:pPr>
            <w:r>
              <w:t xml:space="preserve">Supports the growth of a domestic processing industry which leverages Australia’s renewable energy advantage. </w:t>
            </w:r>
          </w:p>
        </w:tc>
      </w:tr>
      <w:tr w:rsidR="00EF135D" w:rsidTr="00A55EE9" w14:paraId="1DBB9586" w14:textId="77777777">
        <w:trPr>
          <w:trHeight w:val="397"/>
        </w:trPr>
        <w:tc>
          <w:tcPr>
            <w:cnfStyle w:val="001000000000" w:firstRow="0" w:lastRow="0" w:firstColumn="1" w:lastColumn="0" w:oddVBand="0" w:evenVBand="0" w:oddHBand="0" w:evenHBand="0" w:firstRowFirstColumn="0" w:firstRowLastColumn="0" w:lastRowFirstColumn="0" w:lastRowLastColumn="0"/>
            <w:tcW w:w="3005" w:type="dxa"/>
            <w:vAlign w:val="top"/>
          </w:tcPr>
          <w:p w:rsidR="00EF135D" w:rsidP="00A55EE9" w:rsidRDefault="00EF135D" w14:paraId="6C62A9BB" w14:textId="4DB8F22E">
            <w:r>
              <w:t>Useful by-products in mineral</w:t>
            </w:r>
            <w:r w:rsidR="00996FBC">
              <w:t xml:space="preserve"> </w:t>
            </w:r>
            <w:r>
              <w:t>processing streams are currently being under</w:t>
            </w:r>
            <w:r w:rsidR="00546915">
              <w:t>-</w:t>
            </w:r>
            <w:r>
              <w:t xml:space="preserve">utilised, resulting in significant waste and environmental impact. </w:t>
            </w:r>
          </w:p>
        </w:tc>
        <w:tc>
          <w:tcPr>
            <w:tcW w:w="3005" w:type="dxa"/>
            <w:vAlign w:val="top"/>
          </w:tcPr>
          <w:p w:rsidR="00EF135D" w:rsidP="00A55EE9" w:rsidRDefault="00EF135D" w14:paraId="20164D77" w14:textId="4E1579AD">
            <w:pPr>
              <w:cnfStyle w:val="000000000000" w:firstRow="0" w:lastRow="0" w:firstColumn="0" w:lastColumn="0" w:oddVBand="0" w:evenVBand="0" w:oddHBand="0" w:evenHBand="0" w:firstRowFirstColumn="0" w:firstRowLastColumn="0" w:lastRowFirstColumn="0" w:lastRowLastColumn="0"/>
            </w:pPr>
            <w:r>
              <w:t>Developing methods for extracting additional mineral products from existing processing streams (e.g.</w:t>
            </w:r>
            <w:r w:rsidR="00996FBC">
              <w:t xml:space="preserve"> </w:t>
            </w:r>
            <w:r>
              <w:t xml:space="preserve">gallium from bauxite) and minimising waste. </w:t>
            </w:r>
          </w:p>
        </w:tc>
        <w:tc>
          <w:tcPr>
            <w:tcW w:w="3006" w:type="dxa"/>
            <w:vAlign w:val="top"/>
          </w:tcPr>
          <w:p w:rsidR="00EF135D" w:rsidP="00A55EE9" w:rsidRDefault="00EF135D" w14:paraId="12A6A2AE" w14:textId="3A0AC660">
            <w:pPr>
              <w:cnfStyle w:val="000000000000" w:firstRow="0" w:lastRow="0" w:firstColumn="0" w:lastColumn="0" w:oddVBand="0" w:evenVBand="0" w:oddHBand="0" w:evenHBand="0" w:firstRowFirstColumn="0" w:firstRowLastColumn="0" w:lastRowFirstColumn="0" w:lastRowLastColumn="0"/>
            </w:pPr>
            <w:r>
              <w:t xml:space="preserve">Increase the diversity of critical and strategic minerals which can be produced from existing processes whilst reducing environmental impact. </w:t>
            </w:r>
          </w:p>
        </w:tc>
      </w:tr>
      <w:tr w:rsidR="00EF135D" w:rsidTr="00A55EE9" w14:paraId="768BF467" w14:textId="77777777">
        <w:trPr>
          <w:trHeight w:val="397"/>
        </w:trPr>
        <w:tc>
          <w:tcPr>
            <w:cnfStyle w:val="001000000000" w:firstRow="0" w:lastRow="0" w:firstColumn="1" w:lastColumn="0" w:oddVBand="0" w:evenVBand="0" w:oddHBand="0" w:evenHBand="0" w:firstRowFirstColumn="0" w:firstRowLastColumn="0" w:lastRowFirstColumn="0" w:lastRowLastColumn="0"/>
            <w:tcW w:w="3005" w:type="dxa"/>
            <w:vAlign w:val="top"/>
          </w:tcPr>
          <w:p w:rsidR="00EF135D" w:rsidP="00A55EE9" w:rsidRDefault="00EF135D" w14:paraId="406404E1" w14:textId="7DF79FAD">
            <w:r>
              <w:t>A large amount of exploration related data remains under</w:t>
            </w:r>
            <w:r w:rsidR="00546915">
              <w:t>-</w:t>
            </w:r>
            <w:r>
              <w:t xml:space="preserve">utilised, including in the creation of exploration models to improve drilling productivity. </w:t>
            </w:r>
          </w:p>
        </w:tc>
        <w:tc>
          <w:tcPr>
            <w:tcW w:w="3005" w:type="dxa"/>
            <w:vAlign w:val="top"/>
          </w:tcPr>
          <w:p w:rsidR="00EF135D" w:rsidP="00A55EE9" w:rsidRDefault="00EF135D" w14:paraId="581C055A" w14:textId="2FF2E22F">
            <w:pPr>
              <w:cnfStyle w:val="000000000000" w:firstRow="0" w:lastRow="0" w:firstColumn="0" w:lastColumn="0" w:oddVBand="0" w:evenVBand="0" w:oddHBand="0" w:evenHBand="0" w:firstRowFirstColumn="0" w:firstRowLastColumn="0" w:lastRowFirstColumn="0" w:lastRowLastColumn="0"/>
            </w:pPr>
            <w:r>
              <w:t xml:space="preserve">Developing a variety of means to interpret data (i.e. creation of models using AI) so new data is better interpreted and exploration/ extraction methods improved. </w:t>
            </w:r>
          </w:p>
        </w:tc>
        <w:tc>
          <w:tcPr>
            <w:tcW w:w="3006" w:type="dxa"/>
            <w:vAlign w:val="top"/>
          </w:tcPr>
          <w:p w:rsidR="00EF135D" w:rsidP="00A55EE9" w:rsidRDefault="00EF135D" w14:paraId="460630D3" w14:textId="76B8AC3E">
            <w:pPr>
              <w:cnfStyle w:val="000000000000" w:firstRow="0" w:lastRow="0" w:firstColumn="0" w:lastColumn="0" w:oddVBand="0" w:evenVBand="0" w:oddHBand="0" w:evenHBand="0" w:firstRowFirstColumn="0" w:firstRowLastColumn="0" w:lastRowFirstColumn="0" w:lastRowLastColumn="0"/>
            </w:pPr>
            <w:r>
              <w:t xml:space="preserve">Higher certainty based on better data interpretation could improve greenfield profitability. </w:t>
            </w:r>
          </w:p>
        </w:tc>
      </w:tr>
      <w:tr w:rsidR="00B3284E" w:rsidTr="00A55EE9" w14:paraId="5C9E131D" w14:textId="77777777">
        <w:trPr>
          <w:trHeight w:val="397"/>
        </w:trPr>
        <w:tc>
          <w:tcPr>
            <w:cnfStyle w:val="001000000000" w:firstRow="0" w:lastRow="0" w:firstColumn="1" w:lastColumn="0" w:oddVBand="0" w:evenVBand="0" w:oddHBand="0" w:evenHBand="0" w:firstRowFirstColumn="0" w:firstRowLastColumn="0" w:lastRowFirstColumn="0" w:lastRowLastColumn="0"/>
            <w:tcW w:w="3005" w:type="dxa"/>
            <w:vAlign w:val="top"/>
          </w:tcPr>
          <w:p w:rsidR="00B3284E" w:rsidP="00A55EE9" w:rsidRDefault="00B3284E" w14:paraId="7665927C" w14:textId="03B5ED30">
            <w:r>
              <w:t xml:space="preserve">More effective mine site automation is required to encompass more processes. </w:t>
            </w:r>
          </w:p>
        </w:tc>
        <w:tc>
          <w:tcPr>
            <w:tcW w:w="3005" w:type="dxa"/>
            <w:vAlign w:val="top"/>
          </w:tcPr>
          <w:p w:rsidR="00B3284E" w:rsidP="00A55EE9" w:rsidRDefault="00B3284E" w14:paraId="31B19642" w14:textId="755906AD">
            <w:pPr>
              <w:cnfStyle w:val="000000000000" w:firstRow="0" w:lastRow="0" w:firstColumn="0" w:lastColumn="0" w:oddVBand="0" w:evenVBand="0" w:oddHBand="0" w:evenHBand="0" w:firstRowFirstColumn="0" w:firstRowLastColumn="0" w:lastRowFirstColumn="0" w:lastRowLastColumn="0"/>
            </w:pPr>
            <w:r>
              <w:t xml:space="preserve">To extend automation to include ore extraction, transport, crushing, concentration, and in some cases purification. </w:t>
            </w:r>
          </w:p>
        </w:tc>
        <w:tc>
          <w:tcPr>
            <w:tcW w:w="3006" w:type="dxa"/>
            <w:vAlign w:val="top"/>
          </w:tcPr>
          <w:p w:rsidR="00B3284E" w:rsidP="00A55EE9" w:rsidRDefault="00B3284E" w14:paraId="04DE3B85" w14:textId="73621C8C">
            <w:pPr>
              <w:cnfStyle w:val="000000000000" w:firstRow="0" w:lastRow="0" w:firstColumn="0" w:lastColumn="0" w:oddVBand="0" w:evenVBand="0" w:oddHBand="0" w:evenHBand="0" w:firstRowFirstColumn="0" w:firstRowLastColumn="0" w:lastRowFirstColumn="0" w:lastRowLastColumn="0"/>
            </w:pPr>
            <w:r>
              <w:t xml:space="preserve">Improved autonomous processes will not only improve productivity, reduce harm to operators and environment, but also help meet ESG targets more competitively. </w:t>
            </w:r>
          </w:p>
        </w:tc>
      </w:tr>
      <w:tr w:rsidR="00570416" w:rsidTr="00A55EE9" w14:paraId="253F4DD0" w14:textId="77777777">
        <w:trPr>
          <w:trHeight w:val="397"/>
        </w:trPr>
        <w:tc>
          <w:tcPr>
            <w:cnfStyle w:val="001000000000" w:firstRow="0" w:lastRow="0" w:firstColumn="1" w:lastColumn="0" w:oddVBand="0" w:evenVBand="0" w:oddHBand="0" w:evenHBand="0" w:firstRowFirstColumn="0" w:firstRowLastColumn="0" w:lastRowFirstColumn="0" w:lastRowLastColumn="0"/>
            <w:tcW w:w="3005" w:type="dxa"/>
            <w:vAlign w:val="top"/>
          </w:tcPr>
          <w:p w:rsidR="00570416" w:rsidP="00A55EE9" w:rsidRDefault="00570416" w14:paraId="07244BB6" w14:textId="2696287E">
            <w:r>
              <w:t xml:space="preserve">Domestic production of solar cells and other energy transition products requires a cost-competitive and resilient supply chain for silicon. </w:t>
            </w:r>
          </w:p>
        </w:tc>
        <w:tc>
          <w:tcPr>
            <w:tcW w:w="3005" w:type="dxa"/>
            <w:vAlign w:val="top"/>
          </w:tcPr>
          <w:p w:rsidR="00570416" w:rsidP="00A55EE9" w:rsidRDefault="00570416" w14:paraId="16793A3F" w14:textId="699C24BD">
            <w:pPr>
              <w:cnfStyle w:val="000000000000" w:firstRow="0" w:lastRow="0" w:firstColumn="0" w:lastColumn="0" w:oddVBand="0" w:evenVBand="0" w:oddHBand="0" w:evenHBand="0" w:firstRowFirstColumn="0" w:firstRowLastColumn="0" w:lastRowFirstColumn="0" w:lastRowLastColumn="0"/>
            </w:pPr>
            <w:r>
              <w:t xml:space="preserve">Developing cost-competitive and clean methods for the smelting of silicon, alongside production of </w:t>
            </w:r>
            <w:proofErr w:type="spellStart"/>
            <w:r>
              <w:t>polysilicates</w:t>
            </w:r>
            <w:proofErr w:type="spellEnd"/>
            <w:r>
              <w:t xml:space="preserve"> and early-stage value-add products like wafers and ingots. </w:t>
            </w:r>
          </w:p>
        </w:tc>
        <w:tc>
          <w:tcPr>
            <w:tcW w:w="3006" w:type="dxa"/>
            <w:vAlign w:val="top"/>
          </w:tcPr>
          <w:p w:rsidR="00570416" w:rsidP="00A55EE9" w:rsidRDefault="00570416" w14:paraId="43BC2E0C" w14:textId="263A64FE">
            <w:pPr>
              <w:cnfStyle w:val="000000000000" w:firstRow="0" w:lastRow="0" w:firstColumn="0" w:lastColumn="0" w:oddVBand="0" w:evenVBand="0" w:oddHBand="0" w:evenHBand="0" w:firstRowFirstColumn="0" w:firstRowLastColumn="0" w:lastRowFirstColumn="0" w:lastRowLastColumn="0"/>
            </w:pPr>
            <w:r>
              <w:t xml:space="preserve">Facilitate the growth of a resilient domestic supply chain for input minerals into key energy transition products while meeting growing global demand. </w:t>
            </w:r>
          </w:p>
        </w:tc>
      </w:tr>
    </w:tbl>
    <w:p w:rsidR="0017134D" w:rsidP="001A3B28" w:rsidRDefault="0017134D" w14:paraId="28041B08" w14:textId="55F02617">
      <w:pPr>
        <w:pStyle w:val="ListNumber4"/>
        <w:numPr>
          <w:ilvl w:val="0"/>
          <w:numId w:val="0"/>
        </w:numPr>
      </w:pPr>
    </w:p>
    <w:p w:rsidRPr="00C2482C" w:rsidR="00C2482C" w:rsidP="00C2482C" w:rsidRDefault="00C2482C" w14:paraId="731D03A7" w14:textId="77777777">
      <w:pPr>
        <w:pStyle w:val="Heading2"/>
      </w:pPr>
      <w:r w:rsidRPr="00C2482C">
        <w:t xml:space="preserve">Other public investment options </w:t>
      </w:r>
    </w:p>
    <w:p w:rsidRPr="00546915" w:rsidR="00E61CDE" w:rsidP="00E61CDE" w:rsidRDefault="00000000" w14:paraId="2351C1E4" w14:textId="211BFB77">
      <w:pPr>
        <w:pStyle w:val="ListBullet"/>
        <w:rPr>
          <w:color w:val="215E9F"/>
        </w:rPr>
      </w:pPr>
      <w:hyperlink w:history="1" r:id="rId25">
        <w:r w:rsidRPr="00546915" w:rsidR="00E61CDE">
          <w:rPr>
            <w:rStyle w:val="Hyperlink"/>
            <w:color w:val="215E9F"/>
          </w:rPr>
          <w:t>ARENA and the Future Made in Australia Innovation Fund</w:t>
        </w:r>
      </w:hyperlink>
    </w:p>
    <w:p w:rsidRPr="00546915" w:rsidR="00E61CDE" w:rsidP="00E61CDE" w:rsidRDefault="00000000" w14:paraId="12880918" w14:textId="77777777">
      <w:pPr>
        <w:pStyle w:val="ListBullet"/>
        <w:rPr>
          <w:color w:val="215E9F"/>
        </w:rPr>
      </w:pPr>
      <w:hyperlink w:history="1" r:id="rId26">
        <w:r w:rsidRPr="00546915" w:rsidR="00E61CDE">
          <w:rPr>
            <w:rStyle w:val="Hyperlink"/>
            <w:color w:val="215E9F"/>
          </w:rPr>
          <w:t>The National Reconstruction Fund</w:t>
        </w:r>
      </w:hyperlink>
    </w:p>
    <w:p w:rsidRPr="00546915" w:rsidR="00C2482C" w:rsidP="00C2482C" w:rsidRDefault="00000000" w14:paraId="00D3C08C" w14:textId="1D1A9F73">
      <w:pPr>
        <w:pStyle w:val="ListBullet"/>
        <w:rPr>
          <w:color w:val="215E9F"/>
        </w:rPr>
      </w:pPr>
      <w:hyperlink w:history="1" r:id="rId27">
        <w:r w:rsidRPr="00546915" w:rsidR="00E61CDE">
          <w:rPr>
            <w:rStyle w:val="Hyperlink"/>
            <w:color w:val="215E9F"/>
          </w:rPr>
          <w:t>Export Finance Australia &amp; the Critical Minerals Facility</w:t>
        </w:r>
      </w:hyperlink>
    </w:p>
    <w:sectPr w:rsidRPr="00546915" w:rsidR="00C2482C" w:rsidSect="00D367EB">
      <w:footerReference w:type="default" r:id="rId28"/>
      <w:pgSz w:w="11906" w:h="16838" w:orient="portrait"/>
      <w:pgMar w:top="70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526D" w:rsidP="000A6228" w:rsidRDefault="007B526D" w14:paraId="73E6ABBC" w14:textId="77777777">
      <w:pPr>
        <w:spacing w:after="0" w:line="240" w:lineRule="auto"/>
      </w:pPr>
      <w:r>
        <w:separator/>
      </w:r>
    </w:p>
  </w:endnote>
  <w:endnote w:type="continuationSeparator" w:id="0">
    <w:p w:rsidR="007B526D" w:rsidP="000A6228" w:rsidRDefault="007B526D" w14:paraId="7394264D" w14:textId="77777777">
      <w:pPr>
        <w:spacing w:after="0" w:line="240" w:lineRule="auto"/>
      </w:pPr>
      <w:r>
        <w:continuationSeparator/>
      </w:r>
    </w:p>
  </w:endnote>
  <w:endnote w:type="continuationNotice" w:id="1">
    <w:p w:rsidR="007B526D" w:rsidRDefault="007B526D" w14:paraId="0EA061B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altName w:val="Calibri"/>
    <w:charset w:val="00"/>
    <w:family w:val="auto"/>
    <w:pitch w:val="variable"/>
    <w:sig w:usb0="E00002FF" w:usb1="1200A1FF" w:usb2="00000001" w:usb3="00000000" w:csb0="0000019F" w:csb1="00000000"/>
  </w:font>
  <w:font w:name="Inter ExtraBold">
    <w:altName w:val="Calibri"/>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D86284" w:rsidRDefault="00D86284" w14:paraId="47C160C9" w14:textId="77777777">
    <w:pPr>
      <w:pStyle w:val="Footer"/>
    </w:pPr>
    <w:r>
      <w:rPr>
        <w:noProof/>
      </w:rPr>
      <w:drawing>
        <wp:anchor distT="0" distB="0" distL="114300" distR="114300" simplePos="0" relativeHeight="251658240" behindDoc="1" locked="1" layoutInCell="1" allowOverlap="1" wp14:anchorId="722B3B44" wp14:editId="7F8D83A7">
          <wp:simplePos x="0" y="0"/>
          <wp:positionH relativeFrom="page">
            <wp:align>right</wp:align>
          </wp:positionH>
          <wp:positionV relativeFrom="page">
            <wp:align>bottom</wp:align>
          </wp:positionV>
          <wp:extent cx="8023225" cy="4953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23225" cy="495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526D" w:rsidP="000A6228" w:rsidRDefault="007B526D" w14:paraId="5F7B36A0" w14:textId="77777777">
      <w:pPr>
        <w:spacing w:after="0" w:line="240" w:lineRule="auto"/>
      </w:pPr>
      <w:r>
        <w:separator/>
      </w:r>
    </w:p>
  </w:footnote>
  <w:footnote w:type="continuationSeparator" w:id="0">
    <w:p w:rsidR="007B526D" w:rsidP="000A6228" w:rsidRDefault="007B526D" w14:paraId="280F9BF0" w14:textId="77777777">
      <w:pPr>
        <w:spacing w:after="0" w:line="240" w:lineRule="auto"/>
      </w:pPr>
      <w:r>
        <w:continuationSeparator/>
      </w:r>
    </w:p>
  </w:footnote>
  <w:footnote w:type="continuationNotice" w:id="1">
    <w:p w:rsidR="007B526D" w:rsidRDefault="007B526D" w14:paraId="574C1790" w14:textId="77777777">
      <w:pPr>
        <w:spacing w:after="0" w:line="240" w:lineRule="auto"/>
      </w:pPr>
    </w:p>
  </w:footnote>
  <w:footnote w:id="2">
    <w:p w:rsidR="003E0726" w:rsidP="003E0726" w:rsidRDefault="003E0726" w14:paraId="44E17C1B" w14:textId="77777777">
      <w:pPr>
        <w:pStyle w:val="FootnoteText"/>
      </w:pPr>
      <w:r>
        <w:rPr>
          <w:rStyle w:val="FootnoteReference"/>
        </w:rPr>
        <w:footnoteRef/>
      </w:r>
      <w:r>
        <w:t xml:space="preserve"> </w:t>
      </w:r>
      <w:hyperlink w:history="1" r:id="rId1">
        <w:r w:rsidRPr="00546915">
          <w:rPr>
            <w:rStyle w:val="Hyperlink"/>
            <w:color w:val="215E9F"/>
            <w:kern w:val="0"/>
            <w14:ligatures w14:val="none"/>
          </w:rPr>
          <w:t>DISR 2023, Resources &amp; Energy Quarterly: December</w:t>
        </w:r>
      </w:hyperlink>
    </w:p>
  </w:footnote>
  <w:footnote w:id="3">
    <w:p w:rsidRPr="00546915" w:rsidR="003E0726" w:rsidP="003E0726" w:rsidRDefault="003E0726" w14:paraId="1962E0A4" w14:textId="6226FE5D">
      <w:pPr>
        <w:pStyle w:val="FootnoteText"/>
        <w:rPr>
          <w:color w:val="215E9F"/>
        </w:rPr>
      </w:pPr>
      <w:r>
        <w:rPr>
          <w:rStyle w:val="FootnoteReference"/>
        </w:rPr>
        <w:footnoteRef/>
      </w:r>
      <w:r>
        <w:t xml:space="preserve"> </w:t>
      </w:r>
      <w:hyperlink w:history="1" r:id="rId2">
        <w:r w:rsidRPr="00546915">
          <w:rPr>
            <w:rStyle w:val="Hyperlink"/>
            <w:color w:val="215E9F"/>
          </w:rPr>
          <w:t>DISR 2023, Resources &amp; Energy Quarterly: December</w:t>
        </w:r>
      </w:hyperlink>
    </w:p>
  </w:footnote>
  <w:footnote w:id="4">
    <w:p w:rsidR="003E0726" w:rsidP="003E0726" w:rsidRDefault="003E0726" w14:paraId="0150BC56" w14:textId="77777777">
      <w:pPr>
        <w:pStyle w:val="FootnoteText"/>
      </w:pPr>
      <w:r>
        <w:rPr>
          <w:rStyle w:val="FootnoteReference"/>
        </w:rPr>
        <w:footnoteRef/>
      </w:r>
      <w:r>
        <w:t xml:space="preserve"> </w:t>
      </w:r>
      <w:hyperlink w:history="1" r:id="rId3">
        <w:r>
          <w:rPr>
            <w:rStyle w:val="Hyperlink"/>
            <w:kern w:val="0"/>
            <w14:ligatures w14:val="none"/>
          </w:rPr>
          <w:t>I</w:t>
        </w:r>
        <w:r w:rsidRPr="00546915">
          <w:rPr>
            <w:rStyle w:val="Hyperlink"/>
            <w:color w:val="215E9F"/>
            <w:kern w:val="0"/>
            <w14:ligatures w14:val="none"/>
          </w:rPr>
          <w:t>nternational Energy Agency 2023, Critical Minerals Market Review 2023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70A0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C81A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AD01FBA"/>
    <w:lvl w:ilvl="0">
      <w:start w:val="1"/>
      <w:numFmt w:val="decimal"/>
      <w:lvlText w:val="%1."/>
      <w:lvlJc w:val="left"/>
      <w:pPr>
        <w:ind w:left="644" w:hanging="360"/>
      </w:pPr>
    </w:lvl>
  </w:abstractNum>
  <w:abstractNum w:abstractNumId="5" w15:restartNumberingAfterBreak="0">
    <w:nsid w:val="FFFFFF81"/>
    <w:multiLevelType w:val="singleLevel"/>
    <w:tmpl w:val="48485D64"/>
    <w:lvl w:ilvl="0">
      <w:start w:val="1"/>
      <w:numFmt w:val="bullet"/>
      <w:lvlText w:val=""/>
      <w:lvlJc w:val="left"/>
      <w:pPr>
        <w:ind w:left="1211" w:hanging="360"/>
      </w:pPr>
      <w:rPr>
        <w:rFonts w:hint="default" w:ascii="Wingdings" w:hAnsi="Wingdings"/>
      </w:rPr>
    </w:lvl>
  </w:abstractNum>
  <w:abstractNum w:abstractNumId="6" w15:restartNumberingAfterBreak="0">
    <w:nsid w:val="FFFFFF82"/>
    <w:multiLevelType w:val="singleLevel"/>
    <w:tmpl w:val="381281B4"/>
    <w:lvl w:ilvl="0">
      <w:start w:val="1"/>
      <w:numFmt w:val="bullet"/>
      <w:lvlText w:val="o"/>
      <w:lvlJc w:val="left"/>
      <w:pPr>
        <w:ind w:left="927" w:hanging="360"/>
      </w:pPr>
      <w:rPr>
        <w:rFonts w:hint="default" w:ascii="Courier New" w:hAnsi="Courier New" w:cs="Courier New"/>
      </w:rPr>
    </w:lvl>
  </w:abstractNum>
  <w:abstractNum w:abstractNumId="7" w15:restartNumberingAfterBreak="0">
    <w:nsid w:val="FFFFFF83"/>
    <w:multiLevelType w:val="singleLevel"/>
    <w:tmpl w:val="D1D69E74"/>
    <w:lvl w:ilvl="0">
      <w:start w:val="1"/>
      <w:numFmt w:val="bullet"/>
      <w:lvlText w:val=""/>
      <w:lvlJc w:val="left"/>
      <w:pPr>
        <w:ind w:left="644" w:hanging="360"/>
      </w:pPr>
      <w:rPr>
        <w:rFonts w:hint="default" w:ascii="Symbol" w:hAnsi="Symbol"/>
      </w:rPr>
    </w:lvl>
  </w:abstractNum>
  <w:abstractNum w:abstractNumId="8" w15:restartNumberingAfterBreak="0">
    <w:nsid w:val="FFFFFF89"/>
    <w:multiLevelType w:val="singleLevel"/>
    <w:tmpl w:val="B366C778"/>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0167B27"/>
    <w:multiLevelType w:val="hybridMultilevel"/>
    <w:tmpl w:val="B41063D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hint="default" w:ascii="Wingdings" w:hAnsi="Wingdings"/>
      </w:rPr>
    </w:lvl>
    <w:lvl w:ilvl="1" w:tplc="0C090003" w:tentative="1">
      <w:start w:val="1"/>
      <w:numFmt w:val="bullet"/>
      <w:lvlText w:val="o"/>
      <w:lvlJc w:val="left"/>
      <w:pPr>
        <w:ind w:left="2574" w:hanging="360"/>
      </w:pPr>
      <w:rPr>
        <w:rFonts w:hint="default" w:ascii="Courier New" w:hAnsi="Courier New" w:cs="Courier New"/>
      </w:rPr>
    </w:lvl>
    <w:lvl w:ilvl="2" w:tplc="0C090005" w:tentative="1">
      <w:start w:val="1"/>
      <w:numFmt w:val="bullet"/>
      <w:lvlText w:val=""/>
      <w:lvlJc w:val="left"/>
      <w:pPr>
        <w:ind w:left="3294" w:hanging="360"/>
      </w:pPr>
      <w:rPr>
        <w:rFonts w:hint="default" w:ascii="Wingdings" w:hAnsi="Wingdings"/>
      </w:rPr>
    </w:lvl>
    <w:lvl w:ilvl="3" w:tplc="0C090001" w:tentative="1">
      <w:start w:val="1"/>
      <w:numFmt w:val="bullet"/>
      <w:lvlText w:val=""/>
      <w:lvlJc w:val="left"/>
      <w:pPr>
        <w:ind w:left="4014" w:hanging="360"/>
      </w:pPr>
      <w:rPr>
        <w:rFonts w:hint="default" w:ascii="Symbol" w:hAnsi="Symbol"/>
      </w:rPr>
    </w:lvl>
    <w:lvl w:ilvl="4" w:tplc="0C090003" w:tentative="1">
      <w:start w:val="1"/>
      <w:numFmt w:val="bullet"/>
      <w:lvlText w:val="o"/>
      <w:lvlJc w:val="left"/>
      <w:pPr>
        <w:ind w:left="4734" w:hanging="360"/>
      </w:pPr>
      <w:rPr>
        <w:rFonts w:hint="default" w:ascii="Courier New" w:hAnsi="Courier New" w:cs="Courier New"/>
      </w:rPr>
    </w:lvl>
    <w:lvl w:ilvl="5" w:tplc="0C090005" w:tentative="1">
      <w:start w:val="1"/>
      <w:numFmt w:val="bullet"/>
      <w:lvlText w:val=""/>
      <w:lvlJc w:val="left"/>
      <w:pPr>
        <w:ind w:left="5454" w:hanging="360"/>
      </w:pPr>
      <w:rPr>
        <w:rFonts w:hint="default" w:ascii="Wingdings" w:hAnsi="Wingdings"/>
      </w:rPr>
    </w:lvl>
    <w:lvl w:ilvl="6" w:tplc="0C090001" w:tentative="1">
      <w:start w:val="1"/>
      <w:numFmt w:val="bullet"/>
      <w:lvlText w:val=""/>
      <w:lvlJc w:val="left"/>
      <w:pPr>
        <w:ind w:left="6174" w:hanging="360"/>
      </w:pPr>
      <w:rPr>
        <w:rFonts w:hint="default" w:ascii="Symbol" w:hAnsi="Symbol"/>
      </w:rPr>
    </w:lvl>
    <w:lvl w:ilvl="7" w:tplc="0C090003" w:tentative="1">
      <w:start w:val="1"/>
      <w:numFmt w:val="bullet"/>
      <w:lvlText w:val="o"/>
      <w:lvlJc w:val="left"/>
      <w:pPr>
        <w:ind w:left="6894" w:hanging="360"/>
      </w:pPr>
      <w:rPr>
        <w:rFonts w:hint="default" w:ascii="Courier New" w:hAnsi="Courier New" w:cs="Courier New"/>
      </w:rPr>
    </w:lvl>
    <w:lvl w:ilvl="8" w:tplc="0C090005" w:tentative="1">
      <w:start w:val="1"/>
      <w:numFmt w:val="bullet"/>
      <w:lvlText w:val=""/>
      <w:lvlJc w:val="left"/>
      <w:pPr>
        <w:ind w:left="7614" w:hanging="360"/>
      </w:pPr>
      <w:rPr>
        <w:rFonts w:hint="default" w:ascii="Wingdings" w:hAnsi="Wingdings"/>
      </w:rPr>
    </w:lvl>
  </w:abstractNum>
  <w:abstractNum w:abstractNumId="13" w15:restartNumberingAfterBreak="0">
    <w:nsid w:val="17997496"/>
    <w:multiLevelType w:val="hybridMultilevel"/>
    <w:tmpl w:val="7F904F30"/>
    <w:lvl w:ilvl="0" w:tplc="19A2C754">
      <w:start w:val="1"/>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hint="default" w:ascii="Symbol" w:hAnsi="Symbol"/>
      </w:rPr>
    </w:lvl>
    <w:lvl w:ilvl="1" w:tplc="3D1E20AA">
      <w:start w:val="1"/>
      <w:numFmt w:val="bullet"/>
      <w:lvlText w:val="o"/>
      <w:lvlJc w:val="left"/>
      <w:pPr>
        <w:ind w:left="2291" w:hanging="360"/>
      </w:pPr>
      <w:rPr>
        <w:rFonts w:hint="default" w:ascii="Courier New" w:hAnsi="Courier New" w:cs="Courier New"/>
      </w:rPr>
    </w:lvl>
    <w:lvl w:ilvl="2" w:tplc="83E2F034">
      <w:start w:val="1"/>
      <w:numFmt w:val="bullet"/>
      <w:lvlText w:val=""/>
      <w:lvlJc w:val="left"/>
      <w:pPr>
        <w:ind w:left="3011" w:hanging="360"/>
      </w:pPr>
      <w:rPr>
        <w:rFonts w:hint="default" w:ascii="Wingdings" w:hAnsi="Wingdings"/>
      </w:rPr>
    </w:lvl>
    <w:lvl w:ilvl="3" w:tplc="89D06022" w:tentative="1">
      <w:start w:val="1"/>
      <w:numFmt w:val="bullet"/>
      <w:lvlText w:val=""/>
      <w:lvlJc w:val="left"/>
      <w:pPr>
        <w:ind w:left="3731" w:hanging="360"/>
      </w:pPr>
      <w:rPr>
        <w:rFonts w:hint="default" w:ascii="Symbol" w:hAnsi="Symbol"/>
      </w:rPr>
    </w:lvl>
    <w:lvl w:ilvl="4" w:tplc="666CA7AC" w:tentative="1">
      <w:start w:val="1"/>
      <w:numFmt w:val="bullet"/>
      <w:lvlText w:val="o"/>
      <w:lvlJc w:val="left"/>
      <w:pPr>
        <w:ind w:left="4451" w:hanging="360"/>
      </w:pPr>
      <w:rPr>
        <w:rFonts w:hint="default" w:ascii="Courier New" w:hAnsi="Courier New" w:cs="Courier New"/>
      </w:rPr>
    </w:lvl>
    <w:lvl w:ilvl="5" w:tplc="E36C41EA" w:tentative="1">
      <w:start w:val="1"/>
      <w:numFmt w:val="bullet"/>
      <w:lvlText w:val=""/>
      <w:lvlJc w:val="left"/>
      <w:pPr>
        <w:ind w:left="5171" w:hanging="360"/>
      </w:pPr>
      <w:rPr>
        <w:rFonts w:hint="default" w:ascii="Wingdings" w:hAnsi="Wingdings"/>
      </w:rPr>
    </w:lvl>
    <w:lvl w:ilvl="6" w:tplc="35044292" w:tentative="1">
      <w:start w:val="1"/>
      <w:numFmt w:val="bullet"/>
      <w:lvlText w:val=""/>
      <w:lvlJc w:val="left"/>
      <w:pPr>
        <w:ind w:left="5891" w:hanging="360"/>
      </w:pPr>
      <w:rPr>
        <w:rFonts w:hint="default" w:ascii="Symbol" w:hAnsi="Symbol"/>
      </w:rPr>
    </w:lvl>
    <w:lvl w:ilvl="7" w:tplc="50D4435C" w:tentative="1">
      <w:start w:val="1"/>
      <w:numFmt w:val="bullet"/>
      <w:lvlText w:val="o"/>
      <w:lvlJc w:val="left"/>
      <w:pPr>
        <w:ind w:left="6611" w:hanging="360"/>
      </w:pPr>
      <w:rPr>
        <w:rFonts w:hint="default" w:ascii="Courier New" w:hAnsi="Courier New" w:cs="Courier New"/>
      </w:rPr>
    </w:lvl>
    <w:lvl w:ilvl="8" w:tplc="7F78BE48" w:tentative="1">
      <w:start w:val="1"/>
      <w:numFmt w:val="bullet"/>
      <w:lvlText w:val=""/>
      <w:lvlJc w:val="left"/>
      <w:pPr>
        <w:ind w:left="7331" w:hanging="360"/>
      </w:pPr>
      <w:rPr>
        <w:rFonts w:hint="default" w:ascii="Wingdings" w:hAnsi="Wingdings"/>
      </w:rPr>
    </w:lvl>
  </w:abstractNum>
  <w:abstractNum w:abstractNumId="15" w15:restartNumberingAfterBreak="0">
    <w:nsid w:val="18FF1AB7"/>
    <w:multiLevelType w:val="multilevel"/>
    <w:tmpl w:val="CE2AAD50"/>
    <w:name w:val="EDU - Bullet List"/>
    <w:lvl w:ilvl="0">
      <w:start w:val="1"/>
      <w:numFmt w:val="bullet"/>
      <w:pStyle w:val="ListBullet"/>
      <w:lvlText w:val=""/>
      <w:lvlJc w:val="left"/>
      <w:pPr>
        <w:ind w:left="360" w:hanging="360"/>
      </w:pPr>
      <w:rPr>
        <w:rFonts w:hint="default" w:ascii="Symbol" w:hAnsi="Symbol"/>
        <w:color w:val="000000" w:themeColor="text1"/>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71E5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B37079"/>
    <w:multiLevelType w:val="hybridMultilevel"/>
    <w:tmpl w:val="1804DAC8"/>
    <w:lvl w:ilvl="0" w:tplc="D7A4341C">
      <w:start w:val="1"/>
      <w:numFmt w:val="bullet"/>
      <w:lvlText w:val=""/>
      <w:lvlJc w:val="left"/>
      <w:pPr>
        <w:ind w:left="720" w:hanging="360"/>
      </w:pPr>
      <w:rPr>
        <w:rFonts w:hint="default" w:ascii="Symbol" w:hAnsi="Symbol"/>
        <w:color w:val="002060"/>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1" w15:restartNumberingAfterBreak="0">
    <w:nsid w:val="54C67042"/>
    <w:multiLevelType w:val="hybridMultilevel"/>
    <w:tmpl w:val="761ED2D2"/>
    <w:lvl w:ilvl="0" w:tplc="7A381F32">
      <w:start w:val="1"/>
      <w:numFmt w:val="bullet"/>
      <w:lvlText w:val=""/>
      <w:lvlJc w:val="left"/>
      <w:pPr>
        <w:ind w:left="72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hint="default" w:ascii="Calibri" w:hAnsi="Calibri"/>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hint="default" w:ascii="Courier New" w:hAnsi="Courier New" w:cs="Courier New"/>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num w:numId="1" w16cid:durableId="1003824115">
    <w:abstractNumId w:val="15"/>
  </w:num>
  <w:num w:numId="2" w16cid:durableId="555898691">
    <w:abstractNumId w:val="7"/>
  </w:num>
  <w:num w:numId="3" w16cid:durableId="1815945134">
    <w:abstractNumId w:val="6"/>
  </w:num>
  <w:num w:numId="4" w16cid:durableId="1284531837">
    <w:abstractNumId w:val="5"/>
  </w:num>
  <w:num w:numId="5" w16cid:durableId="1776288492">
    <w:abstractNumId w:val="17"/>
  </w:num>
  <w:num w:numId="6" w16cid:durableId="2105488694">
    <w:abstractNumId w:val="4"/>
  </w:num>
  <w:num w:numId="7" w16cid:durableId="1506899391">
    <w:abstractNumId w:val="3"/>
  </w:num>
  <w:num w:numId="8" w16cid:durableId="941104420">
    <w:abstractNumId w:val="2"/>
  </w:num>
  <w:num w:numId="9" w16cid:durableId="1745251286">
    <w:abstractNumId w:val="16"/>
  </w:num>
  <w:num w:numId="10" w16cid:durableId="1930695338">
    <w:abstractNumId w:val="10"/>
  </w:num>
  <w:num w:numId="11" w16cid:durableId="1848667820">
    <w:abstractNumId w:val="23"/>
  </w:num>
  <w:num w:numId="12" w16cid:durableId="2055615668">
    <w:abstractNumId w:val="14"/>
  </w:num>
  <w:num w:numId="13" w16cid:durableId="892541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02465">
    <w:abstractNumId w:val="12"/>
  </w:num>
  <w:num w:numId="15" w16cid:durableId="314066296">
    <w:abstractNumId w:val="8"/>
  </w:num>
  <w:num w:numId="16" w16cid:durableId="1346248522">
    <w:abstractNumId w:val="24"/>
  </w:num>
  <w:num w:numId="17" w16cid:durableId="396631337">
    <w:abstractNumId w:val="18"/>
  </w:num>
  <w:num w:numId="18" w16cid:durableId="811366184">
    <w:abstractNumId w:val="11"/>
  </w:num>
  <w:num w:numId="19" w16cid:durableId="294995129">
    <w:abstractNumId w:val="22"/>
  </w:num>
  <w:num w:numId="20" w16cid:durableId="1880824216">
    <w:abstractNumId w:val="1"/>
  </w:num>
  <w:num w:numId="21" w16cid:durableId="1466964647">
    <w:abstractNumId w:val="0"/>
  </w:num>
  <w:num w:numId="22" w16cid:durableId="1452093098">
    <w:abstractNumId w:val="19"/>
  </w:num>
  <w:num w:numId="23" w16cid:durableId="1703631501">
    <w:abstractNumId w:val="20"/>
  </w:num>
  <w:num w:numId="24" w16cid:durableId="601844996">
    <w:abstractNumId w:val="13"/>
  </w:num>
  <w:num w:numId="25" w16cid:durableId="2070372876">
    <w:abstractNumId w:val="9"/>
  </w:num>
  <w:num w:numId="26" w16cid:durableId="975181946">
    <w:abstractNumId w:val="15"/>
  </w:num>
  <w:num w:numId="27" w16cid:durableId="13574686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EB"/>
    <w:rsid w:val="00000000"/>
    <w:rsid w:val="00012366"/>
    <w:rsid w:val="00021FBE"/>
    <w:rsid w:val="000521D7"/>
    <w:rsid w:val="00054793"/>
    <w:rsid w:val="00064FD4"/>
    <w:rsid w:val="00085D24"/>
    <w:rsid w:val="000A047B"/>
    <w:rsid w:val="000A0B58"/>
    <w:rsid w:val="000A6228"/>
    <w:rsid w:val="000A6D96"/>
    <w:rsid w:val="000B2E5E"/>
    <w:rsid w:val="000B5D40"/>
    <w:rsid w:val="000B7EC6"/>
    <w:rsid w:val="000C1149"/>
    <w:rsid w:val="00107D87"/>
    <w:rsid w:val="00107DD5"/>
    <w:rsid w:val="00121B3B"/>
    <w:rsid w:val="0012343A"/>
    <w:rsid w:val="00133B8D"/>
    <w:rsid w:val="00134BC7"/>
    <w:rsid w:val="0013611E"/>
    <w:rsid w:val="001374E6"/>
    <w:rsid w:val="00147B55"/>
    <w:rsid w:val="001515BF"/>
    <w:rsid w:val="0017134D"/>
    <w:rsid w:val="00173687"/>
    <w:rsid w:val="001A3B28"/>
    <w:rsid w:val="001C1523"/>
    <w:rsid w:val="001C79D2"/>
    <w:rsid w:val="001D2442"/>
    <w:rsid w:val="00221D8F"/>
    <w:rsid w:val="002272DB"/>
    <w:rsid w:val="00235752"/>
    <w:rsid w:val="00235FF1"/>
    <w:rsid w:val="002519D8"/>
    <w:rsid w:val="00276047"/>
    <w:rsid w:val="002923DC"/>
    <w:rsid w:val="00292621"/>
    <w:rsid w:val="002A4458"/>
    <w:rsid w:val="002D589A"/>
    <w:rsid w:val="002E10DB"/>
    <w:rsid w:val="002E1B1D"/>
    <w:rsid w:val="002E491A"/>
    <w:rsid w:val="002E7FA1"/>
    <w:rsid w:val="002F60AB"/>
    <w:rsid w:val="00304627"/>
    <w:rsid w:val="003427E4"/>
    <w:rsid w:val="00346FD9"/>
    <w:rsid w:val="0038372C"/>
    <w:rsid w:val="00385052"/>
    <w:rsid w:val="003E0726"/>
    <w:rsid w:val="003E3ED3"/>
    <w:rsid w:val="003E44AD"/>
    <w:rsid w:val="003F6C98"/>
    <w:rsid w:val="0040155D"/>
    <w:rsid w:val="0041713E"/>
    <w:rsid w:val="00421D3F"/>
    <w:rsid w:val="00423785"/>
    <w:rsid w:val="00450385"/>
    <w:rsid w:val="00451B33"/>
    <w:rsid w:val="00452C91"/>
    <w:rsid w:val="00452D26"/>
    <w:rsid w:val="00462D53"/>
    <w:rsid w:val="004851B8"/>
    <w:rsid w:val="004915BA"/>
    <w:rsid w:val="004970EA"/>
    <w:rsid w:val="004973BA"/>
    <w:rsid w:val="004A06CD"/>
    <w:rsid w:val="004A4B6F"/>
    <w:rsid w:val="004A4CF9"/>
    <w:rsid w:val="004C3509"/>
    <w:rsid w:val="004C7CFE"/>
    <w:rsid w:val="004D2965"/>
    <w:rsid w:val="004D2D9D"/>
    <w:rsid w:val="005140F9"/>
    <w:rsid w:val="00524BAC"/>
    <w:rsid w:val="0053355C"/>
    <w:rsid w:val="00546915"/>
    <w:rsid w:val="005650DB"/>
    <w:rsid w:val="00570416"/>
    <w:rsid w:val="00576FEC"/>
    <w:rsid w:val="0058654B"/>
    <w:rsid w:val="00591F57"/>
    <w:rsid w:val="005A75C9"/>
    <w:rsid w:val="005B17CE"/>
    <w:rsid w:val="005B187D"/>
    <w:rsid w:val="005B5111"/>
    <w:rsid w:val="005F73A3"/>
    <w:rsid w:val="00607684"/>
    <w:rsid w:val="006232DC"/>
    <w:rsid w:val="0063094F"/>
    <w:rsid w:val="00630B2E"/>
    <w:rsid w:val="00673DAB"/>
    <w:rsid w:val="006836C0"/>
    <w:rsid w:val="006B611E"/>
    <w:rsid w:val="006C2381"/>
    <w:rsid w:val="006D273B"/>
    <w:rsid w:val="006D67F3"/>
    <w:rsid w:val="006F1FFF"/>
    <w:rsid w:val="006F4113"/>
    <w:rsid w:val="006F6BF0"/>
    <w:rsid w:val="006F6D10"/>
    <w:rsid w:val="0070458B"/>
    <w:rsid w:val="00710C32"/>
    <w:rsid w:val="00710D8C"/>
    <w:rsid w:val="00712B94"/>
    <w:rsid w:val="007359DD"/>
    <w:rsid w:val="00762A90"/>
    <w:rsid w:val="0078496C"/>
    <w:rsid w:val="007A1411"/>
    <w:rsid w:val="007B0957"/>
    <w:rsid w:val="007B2CA1"/>
    <w:rsid w:val="007B526D"/>
    <w:rsid w:val="007D0ABC"/>
    <w:rsid w:val="007F19D6"/>
    <w:rsid w:val="008042F5"/>
    <w:rsid w:val="008247FD"/>
    <w:rsid w:val="00830166"/>
    <w:rsid w:val="00861D62"/>
    <w:rsid w:val="00867DC0"/>
    <w:rsid w:val="00874997"/>
    <w:rsid w:val="008762F6"/>
    <w:rsid w:val="00884F60"/>
    <w:rsid w:val="00886959"/>
    <w:rsid w:val="00893A34"/>
    <w:rsid w:val="008A36E1"/>
    <w:rsid w:val="008A37A7"/>
    <w:rsid w:val="008A7AB4"/>
    <w:rsid w:val="008B0736"/>
    <w:rsid w:val="008E1E43"/>
    <w:rsid w:val="008F7739"/>
    <w:rsid w:val="00900027"/>
    <w:rsid w:val="00903B6A"/>
    <w:rsid w:val="009205EC"/>
    <w:rsid w:val="00941146"/>
    <w:rsid w:val="0094344D"/>
    <w:rsid w:val="00950B06"/>
    <w:rsid w:val="00960C88"/>
    <w:rsid w:val="00970069"/>
    <w:rsid w:val="009721EB"/>
    <w:rsid w:val="009752ED"/>
    <w:rsid w:val="00996FBC"/>
    <w:rsid w:val="009B706E"/>
    <w:rsid w:val="009C05D4"/>
    <w:rsid w:val="009C423A"/>
    <w:rsid w:val="009C5677"/>
    <w:rsid w:val="009E0375"/>
    <w:rsid w:val="009E79ED"/>
    <w:rsid w:val="009F0514"/>
    <w:rsid w:val="00A06E35"/>
    <w:rsid w:val="00A07596"/>
    <w:rsid w:val="00A17A08"/>
    <w:rsid w:val="00A4092A"/>
    <w:rsid w:val="00A55EE9"/>
    <w:rsid w:val="00A60673"/>
    <w:rsid w:val="00A61767"/>
    <w:rsid w:val="00A725B8"/>
    <w:rsid w:val="00A76D60"/>
    <w:rsid w:val="00A916EB"/>
    <w:rsid w:val="00AA2C33"/>
    <w:rsid w:val="00AB1190"/>
    <w:rsid w:val="00AC1872"/>
    <w:rsid w:val="00AC21EE"/>
    <w:rsid w:val="00AC3B24"/>
    <w:rsid w:val="00AD631F"/>
    <w:rsid w:val="00AE21FF"/>
    <w:rsid w:val="00AF1F18"/>
    <w:rsid w:val="00B03038"/>
    <w:rsid w:val="00B0726E"/>
    <w:rsid w:val="00B219D1"/>
    <w:rsid w:val="00B25570"/>
    <w:rsid w:val="00B310CF"/>
    <w:rsid w:val="00B3284E"/>
    <w:rsid w:val="00B35E11"/>
    <w:rsid w:val="00B569FB"/>
    <w:rsid w:val="00B6526E"/>
    <w:rsid w:val="00B72125"/>
    <w:rsid w:val="00B81FA4"/>
    <w:rsid w:val="00B82646"/>
    <w:rsid w:val="00B8794C"/>
    <w:rsid w:val="00B95EF4"/>
    <w:rsid w:val="00BA41B9"/>
    <w:rsid w:val="00BB120A"/>
    <w:rsid w:val="00BB6509"/>
    <w:rsid w:val="00BC098F"/>
    <w:rsid w:val="00BC248C"/>
    <w:rsid w:val="00BC7605"/>
    <w:rsid w:val="00BD1F97"/>
    <w:rsid w:val="00C01EC0"/>
    <w:rsid w:val="00C244EE"/>
    <w:rsid w:val="00C2482C"/>
    <w:rsid w:val="00C35F58"/>
    <w:rsid w:val="00C525F8"/>
    <w:rsid w:val="00C603AD"/>
    <w:rsid w:val="00C622E0"/>
    <w:rsid w:val="00C72224"/>
    <w:rsid w:val="00C73A15"/>
    <w:rsid w:val="00C75706"/>
    <w:rsid w:val="00C75964"/>
    <w:rsid w:val="00C9482A"/>
    <w:rsid w:val="00CA4815"/>
    <w:rsid w:val="00CB165E"/>
    <w:rsid w:val="00CC5CA1"/>
    <w:rsid w:val="00CC63B5"/>
    <w:rsid w:val="00CE0C68"/>
    <w:rsid w:val="00CF1E8A"/>
    <w:rsid w:val="00CF6562"/>
    <w:rsid w:val="00D11054"/>
    <w:rsid w:val="00D367EB"/>
    <w:rsid w:val="00D54AC5"/>
    <w:rsid w:val="00D5688A"/>
    <w:rsid w:val="00D57D58"/>
    <w:rsid w:val="00D66CE7"/>
    <w:rsid w:val="00D67246"/>
    <w:rsid w:val="00D86090"/>
    <w:rsid w:val="00D86284"/>
    <w:rsid w:val="00D97256"/>
    <w:rsid w:val="00D97434"/>
    <w:rsid w:val="00DB0F00"/>
    <w:rsid w:val="00DB3518"/>
    <w:rsid w:val="00DC5980"/>
    <w:rsid w:val="00DD0C70"/>
    <w:rsid w:val="00DD2B46"/>
    <w:rsid w:val="00DD37A1"/>
    <w:rsid w:val="00DF5BF2"/>
    <w:rsid w:val="00E06ED6"/>
    <w:rsid w:val="00E4791D"/>
    <w:rsid w:val="00E529E5"/>
    <w:rsid w:val="00E61CDE"/>
    <w:rsid w:val="00E61D6B"/>
    <w:rsid w:val="00E86F2A"/>
    <w:rsid w:val="00EA11EA"/>
    <w:rsid w:val="00EA18DC"/>
    <w:rsid w:val="00EB2547"/>
    <w:rsid w:val="00EB4C2F"/>
    <w:rsid w:val="00EB7A7E"/>
    <w:rsid w:val="00EB7AC6"/>
    <w:rsid w:val="00EC3186"/>
    <w:rsid w:val="00ED0DDF"/>
    <w:rsid w:val="00EE3289"/>
    <w:rsid w:val="00EF135D"/>
    <w:rsid w:val="00F1000D"/>
    <w:rsid w:val="00F20FBC"/>
    <w:rsid w:val="00F25F96"/>
    <w:rsid w:val="00F311A4"/>
    <w:rsid w:val="00F77BC7"/>
    <w:rsid w:val="00F77F6F"/>
    <w:rsid w:val="00F82C2C"/>
    <w:rsid w:val="00F85913"/>
    <w:rsid w:val="00FA3A11"/>
    <w:rsid w:val="00FA7E25"/>
    <w:rsid w:val="00FD4D6E"/>
    <w:rsid w:val="00FD6383"/>
    <w:rsid w:val="00FE2107"/>
    <w:rsid w:val="00FF5BC8"/>
    <w:rsid w:val="00FF6E95"/>
    <w:rsid w:val="19694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3110"/>
  <w15:chartTrackingRefBased/>
  <w15:docId w15:val="{5455AE4A-7AF7-4141-8DC7-DD41B670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6D10"/>
    <w:pPr>
      <w:spacing w:after="240"/>
    </w:pPr>
  </w:style>
  <w:style w:type="paragraph" w:styleId="Heading1">
    <w:name w:val="heading 1"/>
    <w:basedOn w:val="Normal"/>
    <w:next w:val="Normal"/>
    <w:link w:val="Heading1Char"/>
    <w:uiPriority w:val="9"/>
    <w:qFormat/>
    <w:rsid w:val="00064FD4"/>
    <w:pPr>
      <w:keepNext/>
      <w:keepLines/>
      <w:spacing w:before="1440" w:after="0" w:line="640" w:lineRule="exact"/>
      <w:outlineLvl w:val="0"/>
    </w:pPr>
    <w:rPr>
      <w:rFonts w:ascii="Calibri" w:hAnsi="Calibri" w:eastAsiaTheme="majorEastAsia" w:cstheme="majorBidi"/>
      <w:b/>
      <w:color w:val="362C85"/>
      <w:sz w:val="60"/>
      <w:szCs w:val="32"/>
    </w:rPr>
  </w:style>
  <w:style w:type="paragraph" w:styleId="Heading2">
    <w:name w:val="heading 2"/>
    <w:basedOn w:val="Normal"/>
    <w:next w:val="Normal"/>
    <w:link w:val="Heading2Char"/>
    <w:uiPriority w:val="9"/>
    <w:unhideWhenUsed/>
    <w:qFormat/>
    <w:rsid w:val="00064FD4"/>
    <w:pPr>
      <w:keepNext/>
      <w:keepLines/>
      <w:spacing w:before="720" w:after="160"/>
      <w:outlineLvl w:val="1"/>
    </w:pPr>
    <w:rPr>
      <w:rFonts w:asciiTheme="majorHAnsi" w:hAnsiTheme="majorHAnsi" w:eastAsiaTheme="majorEastAsia" w:cstheme="majorBidi"/>
      <w:b/>
      <w:color w:val="010035"/>
      <w:sz w:val="44"/>
      <w:szCs w:val="26"/>
    </w:rPr>
  </w:style>
  <w:style w:type="paragraph" w:styleId="Heading3">
    <w:name w:val="heading 3"/>
    <w:basedOn w:val="Normal"/>
    <w:next w:val="Normal"/>
    <w:link w:val="Heading3Char"/>
    <w:uiPriority w:val="9"/>
    <w:unhideWhenUsed/>
    <w:qFormat/>
    <w:rsid w:val="00064FD4"/>
    <w:pPr>
      <w:keepNext/>
      <w:keepLines/>
      <w:spacing w:before="320" w:after="60"/>
      <w:outlineLvl w:val="2"/>
    </w:pPr>
    <w:rPr>
      <w:rFonts w:asciiTheme="majorHAnsi" w:hAnsiTheme="majorHAnsi" w:eastAsiaTheme="majorEastAsia" w:cstheme="majorBidi"/>
      <w:b/>
      <w:color w:val="006954"/>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hAnsiTheme="majorHAnsi" w:eastAsiaTheme="majorEastAsia"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hAnsiTheme="majorHAnsi" w:eastAsiaTheme="majorEastAsia"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hAnsiTheme="majorHAnsi" w:eastAsiaTheme="majorEastAsia"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styleId="FooterChar" w:customStyle="1">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064FD4"/>
    <w:rPr>
      <w:rFonts w:ascii="Calibri" w:hAnsi="Calibri" w:eastAsiaTheme="majorEastAsia" w:cstheme="majorBidi"/>
      <w:b/>
      <w:color w:val="362C85"/>
      <w:sz w:val="60"/>
      <w:szCs w:val="32"/>
    </w:rPr>
  </w:style>
  <w:style w:type="character" w:styleId="Heading2Char" w:customStyle="1">
    <w:name w:val="Heading 2 Char"/>
    <w:basedOn w:val="DefaultParagraphFont"/>
    <w:link w:val="Heading2"/>
    <w:uiPriority w:val="9"/>
    <w:rsid w:val="00064FD4"/>
    <w:rPr>
      <w:rFonts w:asciiTheme="majorHAnsi" w:hAnsiTheme="majorHAnsi" w:eastAsiaTheme="majorEastAsia" w:cstheme="majorBidi"/>
      <w:b/>
      <w:color w:val="010035"/>
      <w:sz w:val="44"/>
      <w:szCs w:val="26"/>
    </w:rPr>
  </w:style>
  <w:style w:type="character" w:styleId="Heading3Char" w:customStyle="1">
    <w:name w:val="Heading 3 Char"/>
    <w:basedOn w:val="DefaultParagraphFont"/>
    <w:link w:val="Heading3"/>
    <w:uiPriority w:val="9"/>
    <w:rsid w:val="00064FD4"/>
    <w:rPr>
      <w:rFonts w:asciiTheme="majorHAnsi" w:hAnsiTheme="majorHAnsi" w:eastAsiaTheme="majorEastAsia" w:cstheme="majorBidi"/>
      <w:b/>
      <w:color w:val="006954"/>
      <w:sz w:val="32"/>
      <w:szCs w:val="24"/>
    </w:rPr>
  </w:style>
  <w:style w:type="character" w:styleId="Heading4Char" w:customStyle="1">
    <w:name w:val="Heading 4 Char"/>
    <w:basedOn w:val="DefaultParagraphFont"/>
    <w:link w:val="Heading4"/>
    <w:uiPriority w:val="9"/>
    <w:rsid w:val="00FD6383"/>
    <w:rPr>
      <w:rFonts w:asciiTheme="majorHAnsi" w:hAnsiTheme="majorHAnsi" w:eastAsiaTheme="majorEastAsia" w:cstheme="majorBidi"/>
      <w:b/>
      <w:iCs/>
      <w:color w:val="00254A" w:themeColor="text2"/>
      <w:sz w:val="28"/>
    </w:rPr>
  </w:style>
  <w:style w:type="character" w:styleId="Heading5Char" w:customStyle="1">
    <w:name w:val="Heading 5 Char"/>
    <w:basedOn w:val="DefaultParagraphFont"/>
    <w:link w:val="Heading5"/>
    <w:uiPriority w:val="9"/>
    <w:rsid w:val="00FD6383"/>
    <w:rPr>
      <w:rFonts w:asciiTheme="majorHAnsi" w:hAnsiTheme="majorHAnsi" w:eastAsiaTheme="majorEastAsia" w:cstheme="majorBidi"/>
      <w:b/>
      <w:color w:val="004C6C" w:themeColor="background2"/>
      <w:sz w:val="26"/>
    </w:rPr>
  </w:style>
  <w:style w:type="character" w:styleId="Heading6Char" w:customStyle="1">
    <w:name w:val="Heading 6 Char"/>
    <w:basedOn w:val="DefaultParagraphFont"/>
    <w:link w:val="Heading6"/>
    <w:uiPriority w:val="9"/>
    <w:rsid w:val="00AD631F"/>
    <w:rPr>
      <w:rFonts w:asciiTheme="majorHAnsi" w:hAnsiTheme="majorHAnsi" w:eastAsiaTheme="majorEastAsia"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styleId="Source" w:customStyle="1">
    <w:name w:val="Source"/>
    <w:basedOn w:val="Normal"/>
    <w:uiPriority w:val="97"/>
    <w:qFormat/>
    <w:rsid w:val="00EB4C2F"/>
    <w:pPr>
      <w:spacing w:before="120"/>
    </w:pPr>
    <w:rPr>
      <w:sz w:val="18"/>
    </w:rPr>
  </w:style>
  <w:style w:type="character" w:styleId="Heading7Char" w:customStyle="1">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064FD4"/>
    <w:pPr>
      <w:numPr>
        <w:ilvl w:val="1"/>
      </w:numPr>
      <w:spacing w:before="120" w:after="140"/>
    </w:pPr>
    <w:rPr>
      <w:rFonts w:eastAsiaTheme="minorEastAsia"/>
      <w:color w:val="006954"/>
      <w:spacing w:val="15"/>
      <w:sz w:val="40"/>
    </w:rPr>
  </w:style>
  <w:style w:type="character" w:styleId="SubtitleChar" w:customStyle="1">
    <w:name w:val="Subtitle Char"/>
    <w:basedOn w:val="DefaultParagraphFont"/>
    <w:link w:val="Subtitle"/>
    <w:uiPriority w:val="11"/>
    <w:rsid w:val="00064FD4"/>
    <w:rPr>
      <w:rFonts w:eastAsiaTheme="minorEastAsia"/>
      <w:color w:val="00695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26"/>
      </w:numPr>
      <w:spacing w:after="200"/>
      <w:contextualSpacing/>
    </w:pPr>
  </w:style>
  <w:style w:type="paragraph" w:styleId="ListBullet2">
    <w:name w:val="List Bullet 2"/>
    <w:basedOn w:val="Normal"/>
    <w:uiPriority w:val="98"/>
    <w:qFormat/>
    <w:rsid w:val="00C75706"/>
    <w:pPr>
      <w:numPr>
        <w:ilvl w:val="1"/>
        <w:numId w:val="26"/>
      </w:numPr>
      <w:spacing w:after="200"/>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styleId="QuoteChar" w:customStyle="1">
    <w:name w:val="Quote Char"/>
    <w:basedOn w:val="DefaultParagraphFont"/>
    <w:link w:val="Quote"/>
    <w:uiPriority w:val="29"/>
    <w:rsid w:val="00950B06"/>
    <w:rPr>
      <w:iCs/>
      <w:color w:val="5F6369"/>
    </w:rPr>
  </w:style>
  <w:style w:type="table" w:styleId="EDU-Basic" w:customStyle="1">
    <w:name w:val="EDU - Basic"/>
    <w:basedOn w:val="TableNormal"/>
    <w:uiPriority w:val="99"/>
    <w:rsid w:val="00235752"/>
    <w:pPr>
      <w:spacing w:before="100" w:beforeAutospacing="1" w:after="100" w:afterAutospacing="1"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Default" w:customStyle="1">
    <w:name w:val="Default"/>
    <w:rsid w:val="0058654B"/>
    <w:pPr>
      <w:autoSpaceDE w:val="0"/>
      <w:autoSpaceDN w:val="0"/>
      <w:adjustRightInd w:val="0"/>
      <w:spacing w:after="0" w:line="240" w:lineRule="auto"/>
    </w:pPr>
    <w:rPr>
      <w:rFonts w:ascii="Inter" w:hAnsi="Inter" w:cs="Inter"/>
      <w:color w:val="000000"/>
      <w:sz w:val="24"/>
      <w:szCs w:val="24"/>
    </w:rPr>
  </w:style>
  <w:style w:type="paragraph" w:styleId="Pa1" w:customStyle="1">
    <w:name w:val="Pa1"/>
    <w:basedOn w:val="Default"/>
    <w:next w:val="Default"/>
    <w:uiPriority w:val="99"/>
    <w:rsid w:val="0058654B"/>
    <w:pPr>
      <w:spacing w:line="191" w:lineRule="atLeast"/>
    </w:pPr>
    <w:rPr>
      <w:rFonts w:cstheme="minorBidi"/>
      <w:color w:val="auto"/>
    </w:rPr>
  </w:style>
  <w:style w:type="character" w:styleId="A1" w:customStyle="1">
    <w:name w:val="A1"/>
    <w:uiPriority w:val="99"/>
    <w:rsid w:val="0058654B"/>
    <w:rPr>
      <w:rFonts w:cs="Inter"/>
      <w:color w:val="000000"/>
      <w:sz w:val="19"/>
      <w:szCs w:val="19"/>
      <w:u w:val="single"/>
    </w:rPr>
  </w:style>
  <w:style w:type="paragraph" w:styleId="Pa2" w:customStyle="1">
    <w:name w:val="Pa2"/>
    <w:basedOn w:val="Default"/>
    <w:next w:val="Default"/>
    <w:uiPriority w:val="99"/>
    <w:rsid w:val="009C05D4"/>
    <w:pPr>
      <w:spacing w:line="334" w:lineRule="atLeast"/>
    </w:pPr>
    <w:rPr>
      <w:rFonts w:ascii="Inter ExtraBold" w:hAnsi="Inter ExtraBold" w:cstheme="minorBidi"/>
      <w:color w:val="auto"/>
    </w:rPr>
  </w:style>
  <w:style w:type="paragraph" w:styleId="Pa7" w:customStyle="1">
    <w:name w:val="Pa7"/>
    <w:basedOn w:val="Default"/>
    <w:next w:val="Default"/>
    <w:uiPriority w:val="99"/>
    <w:rsid w:val="00D86090"/>
    <w:pPr>
      <w:spacing w:line="191" w:lineRule="atLeast"/>
    </w:pPr>
    <w:rPr>
      <w:rFonts w:ascii="Inter ExtraBold" w:hAnsi="Inter ExtraBold" w:cstheme="minorBidi"/>
      <w:color w:val="auto"/>
    </w:rPr>
  </w:style>
  <w:style w:type="paragraph" w:styleId="Pa9" w:customStyle="1">
    <w:name w:val="Pa9"/>
    <w:basedOn w:val="Default"/>
    <w:next w:val="Default"/>
    <w:uiPriority w:val="99"/>
    <w:rsid w:val="00D86090"/>
    <w:pPr>
      <w:spacing w:line="334" w:lineRule="atLeast"/>
    </w:pPr>
    <w:rPr>
      <w:rFonts w:ascii="Inter ExtraBold" w:hAnsi="Inter ExtraBold" w:cstheme="minorBidi"/>
      <w:color w:val="auto"/>
    </w:rPr>
  </w:style>
  <w:style w:type="character" w:styleId="A9" w:customStyle="1">
    <w:name w:val="A9"/>
    <w:uiPriority w:val="99"/>
    <w:rsid w:val="00D86090"/>
    <w:rPr>
      <w:rFonts w:ascii="Inter" w:hAnsi="Inter" w:cs="Inter"/>
      <w:color w:val="000000"/>
      <w:sz w:val="11"/>
      <w:szCs w:val="11"/>
    </w:rPr>
  </w:style>
  <w:style w:type="paragraph" w:styleId="Pa12" w:customStyle="1">
    <w:name w:val="Pa12"/>
    <w:basedOn w:val="Default"/>
    <w:next w:val="Default"/>
    <w:uiPriority w:val="99"/>
    <w:rsid w:val="00EF135D"/>
    <w:pPr>
      <w:spacing w:line="181" w:lineRule="atLeast"/>
    </w:pPr>
    <w:rPr>
      <w:rFonts w:cstheme="minorBidi"/>
      <w:color w:val="auto"/>
    </w:rPr>
  </w:style>
  <w:style w:type="paragraph" w:styleId="Pa13" w:customStyle="1">
    <w:name w:val="Pa13"/>
    <w:basedOn w:val="Default"/>
    <w:next w:val="Default"/>
    <w:uiPriority w:val="99"/>
    <w:rsid w:val="00C2482C"/>
    <w:pPr>
      <w:spacing w:line="334" w:lineRule="atLeast"/>
    </w:pPr>
    <w:rPr>
      <w:rFonts w:ascii="Inter ExtraBold" w:hAnsi="Inter ExtraBold" w:cstheme="minorBidi"/>
      <w:color w:val="auto"/>
    </w:rPr>
  </w:style>
  <w:style w:type="paragraph" w:styleId="ListParagraph">
    <w:name w:val="List Paragraph"/>
    <w:basedOn w:val="Normal"/>
    <w:uiPriority w:val="34"/>
    <w:qFormat/>
    <w:rsid w:val="00B82646"/>
    <w:pPr>
      <w:spacing w:after="160"/>
      <w:ind w:left="720"/>
      <w:contextualSpacing/>
    </w:pPr>
    <w:rPr>
      <w:kern w:val="2"/>
      <w14:ligatures w14:val="standardContextual"/>
    </w:rPr>
  </w:style>
  <w:style w:type="paragraph" w:styleId="FootnoteText">
    <w:name w:val="footnote text"/>
    <w:basedOn w:val="Normal"/>
    <w:link w:val="FootnoteTextChar"/>
    <w:uiPriority w:val="99"/>
    <w:semiHidden/>
    <w:unhideWhenUsed/>
    <w:rsid w:val="003E0726"/>
    <w:pPr>
      <w:spacing w:after="0" w:line="240" w:lineRule="auto"/>
    </w:pPr>
    <w:rPr>
      <w:kern w:val="2"/>
      <w:sz w:val="20"/>
      <w:szCs w:val="20"/>
      <w14:ligatures w14:val="standardContextual"/>
    </w:rPr>
  </w:style>
  <w:style w:type="character" w:styleId="FootnoteTextChar" w:customStyle="1">
    <w:name w:val="Footnote Text Char"/>
    <w:basedOn w:val="DefaultParagraphFont"/>
    <w:link w:val="FootnoteText"/>
    <w:uiPriority w:val="99"/>
    <w:semiHidden/>
    <w:rsid w:val="003E0726"/>
    <w:rPr>
      <w:kern w:val="2"/>
      <w:sz w:val="20"/>
      <w:szCs w:val="20"/>
      <w14:ligatures w14:val="standardContextual"/>
    </w:rPr>
  </w:style>
  <w:style w:type="character" w:styleId="FootnoteReference">
    <w:name w:val="footnote reference"/>
    <w:basedOn w:val="DefaultParagraphFont"/>
    <w:uiPriority w:val="99"/>
    <w:semiHidden/>
    <w:unhideWhenUsed/>
    <w:rsid w:val="003E0726"/>
    <w:rPr>
      <w:vertAlign w:val="superscript"/>
    </w:rPr>
  </w:style>
  <w:style w:type="character" w:styleId="FollowedHyperlink">
    <w:name w:val="FollowedHyperlink"/>
    <w:basedOn w:val="DefaultParagraphFont"/>
    <w:uiPriority w:val="99"/>
    <w:semiHidden/>
    <w:unhideWhenUsed/>
    <w:rsid w:val="00121B3B"/>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industry.gov.au/publications/critical-minerals-strategy-2023-2030" TargetMode="External" Id="rId18" /><Relationship Type="http://schemas.openxmlformats.org/officeDocument/2006/relationships/hyperlink" Target="https://www.nrf.gov.au/" TargetMode="External" Id="rId26"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5.svg" Id="rId17" /><Relationship Type="http://schemas.openxmlformats.org/officeDocument/2006/relationships/hyperlink" Target="https://budget.gov.au/content/03-future-made.htm" TargetMode="Externa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yperlink" Target="https://treasury.gov.au/publication/p2024-526942"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9.png" Id="rId24" /><Relationship Type="http://schemas.openxmlformats.org/officeDocument/2006/relationships/numbering" Target="numbering.xml" Id="rId5" /><Relationship Type="http://schemas.openxmlformats.org/officeDocument/2006/relationships/image" Target="media/image8.png"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www.industry.gov.au/publications/list-critical-technologies-national-interest"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7.png" Id="rId22" /><Relationship Type="http://schemas.openxmlformats.org/officeDocument/2006/relationships/hyperlink" Target="https://www.exportfinance.gov.au/criticalminerals" TargetMode="External" Id="rId27" /><Relationship Type="http://schemas.openxmlformats.org/officeDocument/2006/relationships/glossaryDocument" Target="glossary/document.xml" Id="rId30" /><Relationship Type="http://schemas.openxmlformats.org/officeDocument/2006/relationships/hyperlink" Target="https://www.aea.gov.au/" TargetMode="External" Id="R8182acba0ec640e2" /><Relationship Type="http://schemas.openxmlformats.org/officeDocument/2006/relationships/hyperlink" Target="https://www.legislation.gov.au/F2023L00716/latest/text" TargetMode="External" Id="R83e3c3a62ba1476a" /></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www.iea.org/reports/critical-minerals-market-review-2023" TargetMode="External"/><Relationship Id="rId2" Type="http://schemas.openxmlformats.org/officeDocument/2006/relationships/hyperlink" Target="https://www.industry.gov.au/publications/resources-and-energy-quarterly-december-2023" TargetMode="External"/><Relationship Id="rId1" Type="http://schemas.openxmlformats.org/officeDocument/2006/relationships/hyperlink" Target="https://www.industry.gov.au/publications/resources-and-energy-quarterly-december-20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482B3A85CC4CF7BF1119189E32A6A3"/>
        <w:category>
          <w:name w:val="General"/>
          <w:gallery w:val="placeholder"/>
        </w:category>
        <w:types>
          <w:type w:val="bbPlcHdr"/>
        </w:types>
        <w:behaviors>
          <w:behavior w:val="content"/>
        </w:behaviors>
        <w:guid w:val="{E1DBA503-08B5-4172-90BD-BABEBB8DB833}"/>
      </w:docPartPr>
      <w:docPartBody>
        <w:p w:rsidR="0053355C" w:rsidRDefault="0053355C">
          <w:pPr>
            <w:pStyle w:val="F0482B3A85CC4CF7BF1119189E32A6A3"/>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altName w:val="Calibri"/>
    <w:charset w:val="00"/>
    <w:family w:val="auto"/>
    <w:pitch w:val="variable"/>
    <w:sig w:usb0="E00002FF" w:usb1="1200A1FF" w:usb2="00000001" w:usb3="00000000" w:csb0="0000019F" w:csb1="00000000"/>
  </w:font>
  <w:font w:name="Inter ExtraBold">
    <w:altName w:val="Calibri"/>
    <w:charset w:val="00"/>
    <w:family w:val="auto"/>
    <w:pitch w:val="variable"/>
    <w:sig w:usb0="E00002FF" w:usb1="1200A1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C"/>
    <w:rsid w:val="00093E03"/>
    <w:rsid w:val="00147B55"/>
    <w:rsid w:val="0053355C"/>
    <w:rsid w:val="00576FEC"/>
    <w:rsid w:val="00673DAB"/>
    <w:rsid w:val="00706E59"/>
    <w:rsid w:val="007A1411"/>
    <w:rsid w:val="00896B9C"/>
    <w:rsid w:val="00C75964"/>
    <w:rsid w:val="00CB165E"/>
    <w:rsid w:val="00CC63B5"/>
    <w:rsid w:val="00D11054"/>
    <w:rsid w:val="00D66CE7"/>
    <w:rsid w:val="00F77BC7"/>
    <w:rsid w:val="00F77F6F"/>
    <w:rsid w:val="00FE6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482B3A85CC4CF7BF1119189E32A6A3">
    <w:name w:val="F0482B3A85CC4CF7BF1119189E32A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fb3cdf-eacf-4554-9620-b92a308314c3" xsi:nil="true"/>
    <lcf76f155ced4ddcb4097134ff3c332f xmlns="79e20b53-d822-4cc3-9110-ea3b6520062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14" ma:contentTypeDescription="Create a new document." ma:contentTypeScope="" ma:versionID="526a66d717bb05cb3a9fc9c9ff52c862">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817f71e630f568896ec48441533930ce"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8d8c03-6c96-4847-ab55-e12a78384bea}" ma:internalName="TaxCatchAll" ma:showField="CatchAllData" ma:web="a3fb3cdf-eacf-4554-9620-b92a308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5C5DD-03E1-451D-8F4C-493185BED208}">
  <ds:schemaRefs>
    <ds:schemaRef ds:uri="http://schemas.microsoft.com/sharepoint/v3/contenttype/forms"/>
  </ds:schemaRefs>
</ds:datastoreItem>
</file>

<file path=customXml/itemProps2.xml><?xml version="1.0" encoding="utf-8"?>
<ds:datastoreItem xmlns:ds="http://schemas.openxmlformats.org/officeDocument/2006/customXml" ds:itemID="{BBF427E8-5F0F-4FA7-92FB-53171A0F9DF1}">
  <ds:schemaRefs>
    <ds:schemaRef ds:uri="http://schemas.microsoft.com/office/2006/metadata/properties"/>
    <ds:schemaRef ds:uri="http://schemas.microsoft.com/office/infopath/2007/PartnerControls"/>
    <ds:schemaRef ds:uri="a3fb3cdf-eacf-4554-9620-b92a308314c3"/>
    <ds:schemaRef ds:uri="79e20b53-d822-4cc3-9110-ea3b65200624"/>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30DB3C98-76DC-4FCB-914B-AC895EFAE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Critical &amp; Strategic Minerals Processing</dc:title>
  <dc:subject/>
  <dc:creator>LEANE,Sean</dc:creator>
  <keywords>A4; fact sheet; template</keywords>
  <dc:description/>
  <lastModifiedBy>RANDO,Hannah</lastModifiedBy>
  <revision>30</revision>
  <dcterms:created xsi:type="dcterms:W3CDTF">2024-08-16T00:31:00.0000000Z</dcterms:created>
  <dcterms:modified xsi:type="dcterms:W3CDTF">2024-08-21T02:57:24.0309597Z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0x01010027270F1D1BF67A49AD92509374284E36</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IntranetKeywords">
    <vt:lpwstr>42;#Template|3cbb8fd7-2410-4f4e-ad1d-6093bdc0000c</vt:lpwstr>
  </property>
  <property fmtid="{D5CDD505-2E9C-101B-9397-08002B2CF9AE}" pid="14" name="DocumentType">
    <vt:lpwstr>48;#Departmental template|44f3e02d-5701-4dc7-a56d-0c9d3520d1eb</vt:lpwstr>
  </property>
  <property fmtid="{D5CDD505-2E9C-101B-9397-08002B2CF9AE}" pid="15" name="Stream">
    <vt:lpwstr>4;#Communication and media|a829aae0-f6fe-4929-b33d-dad77c6e3f71</vt:lpwstr>
  </property>
  <property fmtid="{D5CDD505-2E9C-101B-9397-08002B2CF9AE}" pid="16" name="MediaServiceImageTags">
    <vt:lpwstr/>
  </property>
</Properties>
</file>